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8" w:rsidRDefault="00B839A8" w:rsidP="0099678B">
      <w:pPr>
        <w:pStyle w:val="berschrift2"/>
      </w:pPr>
    </w:p>
    <w:p w:rsidR="00B839A8" w:rsidRDefault="00B839A8" w:rsidP="0099678B">
      <w:pPr>
        <w:pStyle w:val="berschrift2"/>
      </w:pPr>
    </w:p>
    <w:p w:rsidR="00B839A8" w:rsidRDefault="00B839A8" w:rsidP="0099678B">
      <w:pPr>
        <w:pStyle w:val="berschrift2"/>
      </w:pPr>
    </w:p>
    <w:p w:rsidR="00B839A8" w:rsidRDefault="00B839A8" w:rsidP="0099678B">
      <w:pPr>
        <w:pStyle w:val="berschrift2"/>
      </w:pPr>
    </w:p>
    <w:p w:rsidR="00B839A8" w:rsidRDefault="00B839A8" w:rsidP="0099678B">
      <w:pPr>
        <w:pStyle w:val="berschrift2"/>
      </w:pPr>
    </w:p>
    <w:p w:rsidR="00B839A8" w:rsidRDefault="00B839A8" w:rsidP="0099678B">
      <w:pPr>
        <w:pStyle w:val="berschrift2"/>
      </w:pPr>
    </w:p>
    <w:p w:rsidR="00B839A8" w:rsidRDefault="00B839A8" w:rsidP="00B839A8">
      <w:pPr>
        <w:pStyle w:val="berschrift2"/>
        <w:jc w:val="center"/>
        <w:rPr>
          <w:sz w:val="144"/>
          <w:szCs w:val="144"/>
        </w:rPr>
      </w:pPr>
      <w:r>
        <w:rPr>
          <w:sz w:val="144"/>
          <w:szCs w:val="144"/>
        </w:rPr>
        <w:t>GORM</w:t>
      </w:r>
    </w:p>
    <w:p w:rsidR="00B839A8" w:rsidRDefault="00B839A8" w:rsidP="00B839A8"/>
    <w:p w:rsidR="00B839A8" w:rsidRDefault="00B839A8" w:rsidP="00B839A8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Technisches Regelwerk für die Saison 2017</w:t>
      </w:r>
    </w:p>
    <w:p w:rsidR="00B839A8" w:rsidRDefault="00B839A8" w:rsidP="00B839A8">
      <w:pPr>
        <w:jc w:val="center"/>
        <w:rPr>
          <w:color w:val="000000" w:themeColor="text1"/>
          <w:sz w:val="48"/>
          <w:szCs w:val="48"/>
        </w:rPr>
      </w:pPr>
    </w:p>
    <w:p w:rsidR="00B839A8" w:rsidRPr="00B839A8" w:rsidRDefault="00B839A8" w:rsidP="00B839A8">
      <w:pPr>
        <w:jc w:val="center"/>
        <w:rPr>
          <w:color w:val="000000" w:themeColor="text1"/>
          <w:sz w:val="36"/>
          <w:szCs w:val="36"/>
          <w:u w:val="single"/>
        </w:rPr>
      </w:pPr>
      <w:r w:rsidRPr="00A352DD">
        <w:rPr>
          <w:color w:val="FF0000"/>
          <w:sz w:val="36"/>
          <w:szCs w:val="36"/>
          <w:u w:val="single"/>
        </w:rPr>
        <w:t>Grundlagen zur technischen Abnahme</w:t>
      </w:r>
    </w:p>
    <w:p w:rsidR="00B839A8" w:rsidRPr="00FA45FE" w:rsidRDefault="00FA45FE" w:rsidP="00B839A8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Stand Januar 2017</w:t>
      </w:r>
    </w:p>
    <w:p w:rsidR="00B839A8" w:rsidRDefault="00B839A8" w:rsidP="00B839A8">
      <w:pPr>
        <w:jc w:val="center"/>
        <w:rPr>
          <w:color w:val="000000" w:themeColor="text1"/>
          <w:sz w:val="48"/>
          <w:szCs w:val="48"/>
        </w:rPr>
      </w:pPr>
    </w:p>
    <w:p w:rsidR="00B839A8" w:rsidRDefault="00B839A8" w:rsidP="00B839A8">
      <w:pPr>
        <w:jc w:val="center"/>
        <w:rPr>
          <w:color w:val="000000" w:themeColor="text1"/>
          <w:sz w:val="48"/>
          <w:szCs w:val="48"/>
        </w:rPr>
      </w:pPr>
    </w:p>
    <w:p w:rsidR="00B839A8" w:rsidRDefault="00B839A8" w:rsidP="00B839A8">
      <w:pPr>
        <w:jc w:val="center"/>
        <w:rPr>
          <w:color w:val="000000" w:themeColor="text1"/>
          <w:sz w:val="48"/>
          <w:szCs w:val="48"/>
        </w:rPr>
      </w:pPr>
    </w:p>
    <w:p w:rsidR="00A44E25" w:rsidRDefault="00A44E25" w:rsidP="00A44E25">
      <w:pPr>
        <w:pStyle w:val="berschrift2"/>
      </w:pPr>
      <w:r>
        <w:t xml:space="preserve"> </w:t>
      </w:r>
    </w:p>
    <w:p w:rsidR="0028147C" w:rsidRPr="0028147C" w:rsidRDefault="0028147C" w:rsidP="0028147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/>
      </w:r>
      <w:r>
        <w:br/>
      </w:r>
      <w:r>
        <w:br/>
      </w:r>
      <w:r>
        <w:br/>
      </w:r>
      <w:r>
        <w:br/>
      </w:r>
      <w:r w:rsidR="00A44E25">
        <w:br/>
      </w:r>
      <w:r>
        <w:rPr>
          <w:color w:val="000000" w:themeColor="text1"/>
          <w:sz w:val="24"/>
          <w:szCs w:val="24"/>
        </w:rPr>
        <w:br/>
      </w:r>
      <w:r w:rsidR="00A56708" w:rsidRPr="0028147C">
        <w:rPr>
          <w:b/>
          <w:color w:val="000000" w:themeColor="text1"/>
          <w:sz w:val="24"/>
          <w:szCs w:val="24"/>
          <w:u w:val="single"/>
        </w:rPr>
        <w:t>Grundsätzlich hält sich das Reglement an die Kriterien der</w:t>
      </w:r>
      <w:r w:rsidR="00357851" w:rsidRPr="0028147C">
        <w:rPr>
          <w:b/>
          <w:color w:val="000000" w:themeColor="text1"/>
          <w:sz w:val="24"/>
          <w:szCs w:val="24"/>
          <w:u w:val="single"/>
        </w:rPr>
        <w:t xml:space="preserve"> deutschen</w:t>
      </w:r>
      <w:r w:rsidR="00A56708" w:rsidRPr="0028147C">
        <w:rPr>
          <w:b/>
          <w:color w:val="000000" w:themeColor="text1"/>
          <w:sz w:val="24"/>
          <w:szCs w:val="24"/>
          <w:u w:val="single"/>
        </w:rPr>
        <w:t xml:space="preserve"> STVZO</w:t>
      </w:r>
      <w:r w:rsidR="00A56708" w:rsidRPr="0028147C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br/>
      </w:r>
      <w:r w:rsidRPr="0028147C">
        <w:rPr>
          <w:rStyle w:val="berschrift2Zeichen"/>
        </w:rPr>
        <w:t>§1 Lichttechnische Einrichtungen</w:t>
      </w:r>
    </w:p>
    <w:p w:rsidR="00A56708" w:rsidRDefault="00A56708" w:rsidP="00A56708"/>
    <w:p w:rsidR="00A56708" w:rsidRDefault="000446C7" w:rsidP="00A56708">
      <w:r>
        <w:t xml:space="preserve">Für die Klassen T1, </w:t>
      </w:r>
      <w:r w:rsidR="00AF09CE">
        <w:t>T2,</w:t>
      </w:r>
      <w:r>
        <w:t xml:space="preserve"> T3 und T4 </w:t>
      </w:r>
      <w:r w:rsidR="00AF09CE">
        <w:t>gilt:</w:t>
      </w:r>
      <w:r>
        <w:t xml:space="preserve"> </w:t>
      </w:r>
    </w:p>
    <w:p w:rsidR="00A56708" w:rsidRDefault="00431801" w:rsidP="00A56708">
      <w:pPr>
        <w:pStyle w:val="Untertitel"/>
      </w:pPr>
      <w:r>
        <w:t xml:space="preserve">1.1 </w:t>
      </w:r>
      <w:r w:rsidR="00A56708">
        <w:t>Front</w:t>
      </w:r>
    </w:p>
    <w:p w:rsidR="00A56708" w:rsidRDefault="00A56708" w:rsidP="00A56708">
      <w:r>
        <w:t>Di</w:t>
      </w:r>
      <w:r w:rsidR="002B3F8F">
        <w:t xml:space="preserve">e Fahrzeuge benötigen paarweise, </w:t>
      </w:r>
      <w:r w:rsidR="00E012CC">
        <w:t>symmetrisch</w:t>
      </w:r>
      <w:r w:rsidR="002B3F8F">
        <w:t xml:space="preserve"> zu Längsachse </w:t>
      </w:r>
      <w:r>
        <w:t>Hauptscheinwerfer mit Auf- und Abblendlicht</w:t>
      </w:r>
      <w:r w:rsidR="002B3F8F">
        <w:t xml:space="preserve"> </w:t>
      </w:r>
      <w:r>
        <w:t xml:space="preserve">sowie </w:t>
      </w:r>
      <w:r w:rsidR="000446C7">
        <w:t xml:space="preserve">Parklicht. </w:t>
      </w:r>
      <w:r w:rsidR="00421F11">
        <w:t xml:space="preserve">Die </w:t>
      </w:r>
      <w:r w:rsidR="00F2751E">
        <w:t xml:space="preserve">Aufblendlichtkontrolle </w:t>
      </w:r>
      <w:r w:rsidR="00421F11">
        <w:t xml:space="preserve">muss </w:t>
      </w:r>
      <w:r w:rsidR="00F2751E">
        <w:t>funktionsfähig</w:t>
      </w:r>
      <w:r w:rsidR="00421F11">
        <w:t xml:space="preserve"> sein</w:t>
      </w:r>
      <w:r w:rsidR="00F2751E">
        <w:t>.</w:t>
      </w:r>
      <w:r>
        <w:br/>
        <w:t>Ebenso sind Fahrtrichtungsanzeiger (Blinker) vorgeschrieben.</w:t>
      </w:r>
      <w:r>
        <w:br/>
        <w:t>Zusätzlich sind mindestens  1 Paar Zusatzfernscheinwerfer oder  1 Paar Nebelscheinwerfer Plicht.</w:t>
      </w:r>
      <w:r>
        <w:br/>
        <w:t xml:space="preserve">Diese MÜSSEN über </w:t>
      </w:r>
      <w:r w:rsidR="002B3F8F">
        <w:t>eine Bauartgenehmigung</w:t>
      </w:r>
      <w:r>
        <w:t xml:space="preserve"> </w:t>
      </w:r>
      <w:r w:rsidR="00CC2234">
        <w:t xml:space="preserve">verfügen und in der entsprechenden Kategorie zugelassen sein. </w:t>
      </w:r>
      <w:r>
        <w:t>Ar</w:t>
      </w:r>
      <w:r w:rsidR="002B3F8F">
        <w:t>beitsscheinwerfer</w:t>
      </w:r>
      <w:r>
        <w:t xml:space="preserve"> sind grundsätzlich </w:t>
      </w:r>
      <w:r w:rsidR="000446C7">
        <w:t>verboten!</w:t>
      </w:r>
      <w:r>
        <w:br/>
        <w:t xml:space="preserve">Maximal sind </w:t>
      </w:r>
      <w:r w:rsidR="00362375">
        <w:t>4 Stück</w:t>
      </w:r>
      <w:r>
        <w:t xml:space="preserve"> zusätzliche Fern – oder Nebelscheinwerfer erlaubt. Diese müssen </w:t>
      </w:r>
      <w:r w:rsidR="000446C7">
        <w:t>symmetrisch</w:t>
      </w:r>
      <w:r>
        <w:t xml:space="preserve"> am Fahrzeug verbaut sein. </w:t>
      </w:r>
      <w:r w:rsidR="006B2FC9">
        <w:br/>
        <w:t>Die</w:t>
      </w:r>
      <w:r w:rsidR="00300883">
        <w:t xml:space="preserve"> Höhe</w:t>
      </w:r>
      <w:r w:rsidR="006B2FC9">
        <w:t xml:space="preserve"> der </w:t>
      </w:r>
      <w:r w:rsidR="00300883">
        <w:t xml:space="preserve">zusätzlichen </w:t>
      </w:r>
      <w:r w:rsidR="006B2FC9">
        <w:t>Fern</w:t>
      </w:r>
      <w:r w:rsidR="00300883">
        <w:t>- sowie Nebelscheinwerfer ist</w:t>
      </w:r>
      <w:r w:rsidR="006B2FC9">
        <w:t xml:space="preserve"> nicht festgelegt. </w:t>
      </w:r>
      <w:r w:rsidR="00300883">
        <w:t xml:space="preserve"> Eine Blendwirkung ist zu vermeiden.</w:t>
      </w:r>
      <w:r w:rsidR="003C6A96">
        <w:br/>
        <w:t xml:space="preserve">Für alle Scheinwerferarten mit austauschbaren Leuchtmitteln müssen Ersatzbirnen zur Verfügung stehen und im Rennbetrieb ausgetauscht werden. </w:t>
      </w:r>
      <w:r w:rsidR="001A20B5">
        <w:t>Einzelne d</w:t>
      </w:r>
      <w:r w:rsidR="003C6A96">
        <w:t>efekte LED – Balken müssen nicht ersetzt werden.</w:t>
      </w:r>
      <w:r w:rsidR="001A20B5">
        <w:t xml:space="preserve"> (wenn Paarweise verbaut)</w:t>
      </w:r>
      <w:r w:rsidR="003C6A96">
        <w:t xml:space="preserve">  Bei mehr als 4 Zusatzscheinwerfern müssen alle </w:t>
      </w:r>
      <w:r w:rsidR="000446C7">
        <w:t>zu viel</w:t>
      </w:r>
      <w:r w:rsidR="003C6A96">
        <w:t xml:space="preserve"> verbauten Scheinwerfer abgeklebt werden oder vor dem versehentlichen Einschalten gesichert </w:t>
      </w:r>
      <w:r w:rsidR="001A20B5">
        <w:t xml:space="preserve">sein </w:t>
      </w:r>
      <w:r w:rsidR="003C6A96">
        <w:t>(können als Ersatz für defekte Leuchten aktiviert werden</w:t>
      </w:r>
      <w:r w:rsidR="000446C7">
        <w:t>).</w:t>
      </w:r>
      <w:r w:rsidR="00696852">
        <w:br/>
      </w:r>
      <w:r w:rsidR="00933A6E">
        <w:t>LED – Balken mit getre</w:t>
      </w:r>
      <w:r w:rsidR="00431801">
        <w:t>nnter  Leuchtmittelansteuerung</w:t>
      </w:r>
      <w:r w:rsidR="00933A6E">
        <w:t xml:space="preserve"> werden wie „Paarweise“ behandelt.</w:t>
      </w:r>
      <w:r w:rsidR="003C6A96">
        <w:br/>
        <w:t>Ein einzelner LED – Balken d</w:t>
      </w:r>
      <w:r w:rsidR="00A352DD">
        <w:t>arf als Ersatz für ein Paar Zusatz</w:t>
      </w:r>
      <w:r w:rsidR="003C6A96">
        <w:t>scheinwerfer verbaut sein WENN dieser mehr als 75cm lang ist. Ist nur ein Balken als Zu</w:t>
      </w:r>
      <w:r w:rsidR="00463706">
        <w:t>s</w:t>
      </w:r>
      <w:r w:rsidR="003C6A96">
        <w:t>atzscheinwerfer verbaut so ist dieser bei</w:t>
      </w:r>
      <w:r w:rsidR="00EC3D77">
        <w:t xml:space="preserve"> einem </w:t>
      </w:r>
      <w:r w:rsidR="003C6A96">
        <w:t xml:space="preserve"> </w:t>
      </w:r>
      <w:r w:rsidR="00EC3D77">
        <w:t>Defekt</w:t>
      </w:r>
      <w:r w:rsidR="003C6A96">
        <w:t xml:space="preserve"> zu </w:t>
      </w:r>
      <w:r w:rsidR="000446C7">
        <w:t>ersetzen!</w:t>
      </w:r>
      <w:r w:rsidR="00300883">
        <w:t xml:space="preserve">  </w:t>
      </w:r>
      <w:r w:rsidR="00300883">
        <w:br/>
        <w:t>Es</w:t>
      </w:r>
      <w:r w:rsidR="003C6A96">
        <w:t xml:space="preserve"> ist eine maximale Referenz</w:t>
      </w:r>
      <w:r w:rsidR="00D121D4">
        <w:t xml:space="preserve">zahl </w:t>
      </w:r>
      <w:r w:rsidR="003C6A96">
        <w:t xml:space="preserve"> aller gleichzeitig einschaltbaren </w:t>
      </w:r>
      <w:r w:rsidR="005646D4">
        <w:t>Scheinwerfer in Höhe von 1</w:t>
      </w:r>
      <w:r w:rsidR="00300883">
        <w:t>5</w:t>
      </w:r>
      <w:r w:rsidR="005646D4">
        <w:t xml:space="preserve">0 </w:t>
      </w:r>
      <w:r w:rsidR="000446C7" w:rsidRPr="005646D4">
        <w:rPr>
          <w:u w:val="single"/>
        </w:rPr>
        <w:t>anzustreben</w:t>
      </w:r>
      <w:r w:rsidR="000446C7">
        <w:t>.</w:t>
      </w:r>
      <w:r w:rsidR="005646D4">
        <w:t xml:space="preserve">  Dies soll eventuelle Blendwirkungen </w:t>
      </w:r>
      <w:r w:rsidR="000446C7">
        <w:t>reduzieren.</w:t>
      </w:r>
      <w:r w:rsidR="005646D4">
        <w:t xml:space="preserve">  (Referenzzahl der Scheinwerfer ist auf zugelassenen Anlagen hinterlegt) Nicht zulassungsfähige Scheinwerfer müssen abgeklebt werden oder vor dem Einschalten gesichert sein. </w:t>
      </w:r>
      <w:r w:rsidR="005646D4">
        <w:br/>
      </w:r>
      <w:r w:rsidR="005E391C">
        <w:t>Originalbeleuchtung (besonders T3) wird akzeptiert.</w:t>
      </w:r>
    </w:p>
    <w:p w:rsidR="00F21497" w:rsidRDefault="00D121D4" w:rsidP="00F21497">
      <w:pPr>
        <w:pStyle w:val="Untertitel"/>
      </w:pPr>
      <w:r>
        <w:t xml:space="preserve">1.2 </w:t>
      </w:r>
      <w:r w:rsidR="00F21497">
        <w:t>Heck</w:t>
      </w:r>
    </w:p>
    <w:p w:rsidR="00260531" w:rsidRDefault="00F21497" w:rsidP="00F21497">
      <w:r>
        <w:t>Alle Fahrzeuge müssen am Heck 2 Rückleuchten verbaut haben</w:t>
      </w:r>
      <w:r w:rsidR="00A352DD">
        <w:t xml:space="preserve">, </w:t>
      </w:r>
      <w:r w:rsidR="00E012CC">
        <w:t xml:space="preserve">sowie über </w:t>
      </w:r>
      <w:r>
        <w:t>Fahrtrichtungsan</w:t>
      </w:r>
      <w:r w:rsidR="00A352DD">
        <w:t>zeiger (Blinker) verfügen. E</w:t>
      </w:r>
      <w:r>
        <w:t>inzelnen Komponenten dürfen auch getrennt angebaut sein.</w:t>
      </w:r>
      <w:r>
        <w:br/>
      </w:r>
      <w:r w:rsidR="000446C7">
        <w:t>Außerdem</w:t>
      </w:r>
      <w:r>
        <w:t xml:space="preserve"> muss an jedem Heck eine 3. Rote Bremsleuchte verbaut sein. Diese sollte höher als 1m über </w:t>
      </w:r>
      <w:r w:rsidR="000446C7">
        <w:t>Straße</w:t>
      </w:r>
      <w:r>
        <w:t xml:space="preserve"> montiert </w:t>
      </w:r>
      <w:r w:rsidR="00021B33">
        <w:t>werden</w:t>
      </w:r>
      <w:r>
        <w:t xml:space="preserve">. </w:t>
      </w:r>
      <w:r w:rsidR="00021B33">
        <w:t xml:space="preserve"> </w:t>
      </w:r>
      <w:r>
        <w:t xml:space="preserve">Zusätzlich muss ein Staublicht angebracht sein was höher als 1m über </w:t>
      </w:r>
      <w:r w:rsidR="000446C7">
        <w:t>Straße</w:t>
      </w:r>
      <w:r>
        <w:t xml:space="preserve"> montiert </w:t>
      </w:r>
      <w:r w:rsidR="000446C7">
        <w:t xml:space="preserve">ist. </w:t>
      </w:r>
      <w:r>
        <w:t xml:space="preserve">Dieses Staublicht ist in </w:t>
      </w:r>
      <w:r w:rsidR="00933A6E">
        <w:t xml:space="preserve">Rot oder Gelb </w:t>
      </w:r>
      <w:r>
        <w:t>auszuführen</w:t>
      </w:r>
      <w:r w:rsidR="00933A6E">
        <w:t xml:space="preserve">. </w:t>
      </w:r>
      <w:r>
        <w:t xml:space="preserve">Hier wird auf ein Prüfzeichen „E“ </w:t>
      </w:r>
      <w:r w:rsidR="000446C7">
        <w:t xml:space="preserve">verzichtet. </w:t>
      </w:r>
      <w:r w:rsidR="00021B33">
        <w:t xml:space="preserve">Die minimale Lichtleistung beträgt </w:t>
      </w:r>
      <w:r w:rsidR="00D121D4">
        <w:t xml:space="preserve"> </w:t>
      </w:r>
      <w:r w:rsidR="00AB2D4D">
        <w:t>1</w:t>
      </w:r>
      <w:r w:rsidR="00D121D4">
        <w:t>5</w:t>
      </w:r>
      <w:r w:rsidR="00021B33">
        <w:t xml:space="preserve"> Watt. Maximal darf der Scheinwerfer </w:t>
      </w:r>
      <w:r w:rsidR="00AB2D4D">
        <w:t>21</w:t>
      </w:r>
      <w:r w:rsidR="00021B33">
        <w:t xml:space="preserve"> Watt haben</w:t>
      </w:r>
      <w:r w:rsidR="002E525F">
        <w:t xml:space="preserve"> und </w:t>
      </w:r>
      <w:r w:rsidR="002E525F" w:rsidRPr="00EC3D77">
        <w:rPr>
          <w:u w:val="single"/>
        </w:rPr>
        <w:t>nicht</w:t>
      </w:r>
      <w:r w:rsidR="002E525F">
        <w:t xml:space="preserve"> heller als das Bremslicht sein</w:t>
      </w:r>
      <w:r w:rsidR="00021B33">
        <w:t xml:space="preserve">.  Blinklichter sind erlaubt. Ein etwaiges originales Nebellicht (Rot) ist </w:t>
      </w:r>
      <w:r w:rsidR="000446C7">
        <w:t xml:space="preserve">erlaubt. </w:t>
      </w:r>
      <w:r w:rsidR="00933A6E">
        <w:t>Extrem blendende Staublichter sind unerwünscht.</w:t>
      </w:r>
      <w:r w:rsidR="00933A6E">
        <w:br/>
      </w:r>
      <w:r w:rsidR="000B7D50">
        <w:t xml:space="preserve">Eventuelle akkubetriebene Sicherheitsblinkleuchten sind </w:t>
      </w:r>
      <w:r w:rsidR="00933A6E">
        <w:t xml:space="preserve">als Staublicht </w:t>
      </w:r>
      <w:r w:rsidR="000B7D50">
        <w:t>erlaubt.</w:t>
      </w:r>
    </w:p>
    <w:p w:rsidR="00260531" w:rsidRDefault="00A44E25" w:rsidP="00F21497">
      <w:r>
        <w:br/>
      </w:r>
      <w:r w:rsidR="00260531">
        <w:t xml:space="preserve">Für die Klassen Q1 und Q2 gilt: </w:t>
      </w:r>
    </w:p>
    <w:p w:rsidR="00260531" w:rsidRDefault="00D121D4" w:rsidP="00260531">
      <w:pPr>
        <w:pStyle w:val="Untertitel"/>
      </w:pPr>
      <w:r>
        <w:t xml:space="preserve">1.3 </w:t>
      </w:r>
      <w:r w:rsidR="00260531">
        <w:t>Front</w:t>
      </w:r>
    </w:p>
    <w:p w:rsidR="001A20B5" w:rsidRDefault="001A20B5" w:rsidP="001A20B5">
      <w:r>
        <w:t>Die Fahrzeuge benötigen paarweise</w:t>
      </w:r>
      <w:r w:rsidR="00880F4B">
        <w:t>,</w:t>
      </w:r>
      <w:r>
        <w:t xml:space="preserve"> </w:t>
      </w:r>
      <w:r w:rsidR="00880F4B">
        <w:t xml:space="preserve">symmetrisch zu Längsachse </w:t>
      </w:r>
      <w:r>
        <w:t>Hauptscheinwerfer mit Auf- und Abblendlicht</w:t>
      </w:r>
      <w:r w:rsidR="00880F4B">
        <w:t xml:space="preserve"> </w:t>
      </w:r>
      <w:r>
        <w:t xml:space="preserve">sowie </w:t>
      </w:r>
      <w:r w:rsidR="000446C7">
        <w:t>Parklicht.</w:t>
      </w:r>
      <w:r>
        <w:t xml:space="preserve">  Ist original nur ein Hauptscheinwerfer verbaut so wird dies </w:t>
      </w:r>
      <w:r w:rsidR="000446C7">
        <w:t>akzeptiert.</w:t>
      </w:r>
      <w:r>
        <w:br/>
        <w:t>Ebenso sind Fahrtrichtungsanzeiger (Blinker) vorgeschrieben.</w:t>
      </w:r>
      <w:r>
        <w:br/>
        <w:t>Zusätzlich sind mindestens  1 Stück Zusatzfernscheinwerfer oder  1 Stück Nebelscheinwerfer Plicht.</w:t>
      </w:r>
      <w:r>
        <w:br/>
        <w:t xml:space="preserve">Diese MÜSSEN </w:t>
      </w:r>
      <w:r w:rsidR="00B67463">
        <w:t>über eine Bauartgenehmigung</w:t>
      </w:r>
      <w:r>
        <w:t xml:space="preserve"> </w:t>
      </w:r>
      <w:r w:rsidR="00CC2234">
        <w:t xml:space="preserve">verfügen und in der entsprechenden Kategorie zugelassen sein. </w:t>
      </w:r>
      <w:r w:rsidR="000446C7">
        <w:t xml:space="preserve"> </w:t>
      </w:r>
      <w:r>
        <w:t>Arbeitsscheinwe</w:t>
      </w:r>
      <w:r w:rsidR="00B67463">
        <w:t xml:space="preserve">rfer </w:t>
      </w:r>
      <w:r>
        <w:t xml:space="preserve"> sind grundsätzlich </w:t>
      </w:r>
      <w:r w:rsidR="000446C7">
        <w:t>verboten!</w:t>
      </w:r>
      <w:r>
        <w:br/>
        <w:t xml:space="preserve">Maximal sind </w:t>
      </w:r>
      <w:r w:rsidR="00362375">
        <w:t>4 Stück</w:t>
      </w:r>
      <w:r>
        <w:t xml:space="preserve"> zusätzliche Fern – oder Nebelscheinwerfer erlaubt. Diese müssen </w:t>
      </w:r>
      <w:r w:rsidR="000446C7">
        <w:t>symmetrisch</w:t>
      </w:r>
      <w:r>
        <w:t xml:space="preserve"> am Fahrzeug verbaut sein.  Bei </w:t>
      </w:r>
      <w:r w:rsidR="00CC2234">
        <w:t>e</w:t>
      </w:r>
      <w:r>
        <w:t xml:space="preserve">inzelnen Lichtern muss dieser in der </w:t>
      </w:r>
      <w:r w:rsidR="000446C7">
        <w:t>Fahrzeugmitte</w:t>
      </w:r>
      <w:r>
        <w:t xml:space="preserve"> verbaut </w:t>
      </w:r>
      <w:r w:rsidR="00CC2234">
        <w:t>werden</w:t>
      </w:r>
      <w:r>
        <w:t>.</w:t>
      </w:r>
      <w:r>
        <w:br/>
      </w:r>
      <w:r w:rsidR="00A352DD">
        <w:t>Die Position der Zusatz</w:t>
      </w:r>
      <w:r>
        <w:t xml:space="preserve">scheinwerfer ist nicht festgelegt. </w:t>
      </w:r>
      <w:r>
        <w:br/>
        <w:t xml:space="preserve">Für alle Scheinwerferarten mit austauschbaren Leuchtmitteln müssen Ersatzbirnen zur Verfügung stehen und im Rennbetrieb ausgetauscht werden. </w:t>
      </w:r>
      <w:r w:rsidR="00D121D4">
        <w:t xml:space="preserve"> </w:t>
      </w:r>
      <w:r w:rsidR="000446C7">
        <w:t>Einzelne defekte LED – Balken (</w:t>
      </w:r>
      <w:r>
        <w:t xml:space="preserve">wenn Paarweise verbaut) müssen nicht ersetzt werden. Ist nur </w:t>
      </w:r>
      <w:r w:rsidRPr="00823C62">
        <w:rPr>
          <w:u w:val="single"/>
        </w:rPr>
        <w:t xml:space="preserve">ein </w:t>
      </w:r>
      <w:r>
        <w:t xml:space="preserve">LED Balken verbaut muss dieser bei defekt ersetzt werden. Bei mehr als 4 Zusatzscheinwerfern müssen alle </w:t>
      </w:r>
      <w:r w:rsidR="00823C62">
        <w:t>zu viel</w:t>
      </w:r>
      <w:r>
        <w:t xml:space="preserve"> verbauten Scheinwerfer abgeklebt oder vor dem versehentlichen Einschalten gesichert werden (können als Ersatz für defekte Leuchten aktiviert werden</w:t>
      </w:r>
      <w:r w:rsidR="000446C7">
        <w:t>).</w:t>
      </w:r>
      <w:r>
        <w:br/>
      </w:r>
      <w:r w:rsidR="005E391C">
        <w:t>Originalbeleuchtung wird akzeptiert.</w:t>
      </w:r>
    </w:p>
    <w:p w:rsidR="001A20B5" w:rsidRDefault="00D121D4" w:rsidP="001A20B5">
      <w:pPr>
        <w:pStyle w:val="Untertitel"/>
      </w:pPr>
      <w:r>
        <w:t xml:space="preserve">1.4 </w:t>
      </w:r>
      <w:r w:rsidR="001A20B5">
        <w:t>Heck</w:t>
      </w:r>
    </w:p>
    <w:p w:rsidR="001A20B5" w:rsidRDefault="001A20B5" w:rsidP="001A20B5">
      <w:r>
        <w:t>Alle Fahrzeuge müssen am Heck 2 Rückleuch</w:t>
      </w:r>
      <w:r w:rsidR="00A352DD">
        <w:t xml:space="preserve">ten verbaut haben, </w:t>
      </w:r>
      <w:r>
        <w:t xml:space="preserve"> sowie über Fahrtrichtungsanzeiger (Blinker) verfügen.  Die einzelnen Komponenten dürfen auch getrennt angebaut sein.</w:t>
      </w:r>
      <w:r>
        <w:br/>
      </w:r>
      <w:r w:rsidR="000446C7">
        <w:t>Außerdem</w:t>
      </w:r>
      <w:r>
        <w:t xml:space="preserve"> muss an jedem Heck eine 3. Rote Bremsleuchte verbaut sein. Diese sollte an einer </w:t>
      </w:r>
      <w:r w:rsidR="000446C7">
        <w:t>höchstmöglichen</w:t>
      </w:r>
      <w:r>
        <w:t xml:space="preserve"> Position verbaut </w:t>
      </w:r>
      <w:r w:rsidR="0040289F">
        <w:t>werden</w:t>
      </w:r>
      <w:r>
        <w:t>.  Zusätzlich muss ein Staublicht angebracht sein</w:t>
      </w:r>
      <w:r w:rsidR="000B7D50">
        <w:t>.</w:t>
      </w:r>
      <w:r>
        <w:t xml:space="preserve"> </w:t>
      </w:r>
      <w:r w:rsidR="000B7D50">
        <w:t xml:space="preserve"> Auch dieses muss an </w:t>
      </w:r>
      <w:r w:rsidR="000446C7">
        <w:t>höchstmöglicher</w:t>
      </w:r>
      <w:r w:rsidR="000B7D50">
        <w:t xml:space="preserve"> Stelle montiert </w:t>
      </w:r>
      <w:r w:rsidR="000446C7">
        <w:t xml:space="preserve">sein. </w:t>
      </w:r>
      <w:r>
        <w:t xml:space="preserve">Dieses Staublicht ist in </w:t>
      </w:r>
      <w:r w:rsidR="00933A6E">
        <w:t>Rot oder Gelb</w:t>
      </w:r>
      <w:r>
        <w:t xml:space="preserve"> auszuführen</w:t>
      </w:r>
      <w:r w:rsidR="00933A6E">
        <w:t xml:space="preserve">. </w:t>
      </w:r>
      <w:r>
        <w:t xml:space="preserve">  Hier wird auf ein Prüfzeichen „E“ </w:t>
      </w:r>
      <w:r w:rsidR="000446C7">
        <w:t xml:space="preserve">verzichtet. </w:t>
      </w:r>
      <w:r>
        <w:t xml:space="preserve">Die minimale Lichtleistung beträgt </w:t>
      </w:r>
      <w:r w:rsidR="00AB2D4D">
        <w:t>1</w:t>
      </w:r>
      <w:r w:rsidR="00D121D4">
        <w:t>0</w:t>
      </w:r>
      <w:r>
        <w:t xml:space="preserve"> Watt. Maximal darf der Scheinwerfer </w:t>
      </w:r>
      <w:r w:rsidR="00AB2D4D">
        <w:t>21</w:t>
      </w:r>
      <w:r>
        <w:t xml:space="preserve"> Watt haben</w:t>
      </w:r>
      <w:r w:rsidR="002E525F">
        <w:t xml:space="preserve"> und darf nicht heller als das Bremslicht sein</w:t>
      </w:r>
      <w:r>
        <w:t xml:space="preserve">.  Blinklichter sind erlaubt. Ein etwaiges originales Nebellicht (Rot) ist </w:t>
      </w:r>
      <w:r w:rsidR="000446C7">
        <w:t>erlaubt.</w:t>
      </w:r>
      <w:r>
        <w:t xml:space="preserve"> </w:t>
      </w:r>
      <w:r w:rsidR="00933A6E">
        <w:t xml:space="preserve"> Extrem blendende Staublichter sind unerwünscht.</w:t>
      </w:r>
      <w:r w:rsidR="00933A6E">
        <w:br/>
      </w:r>
      <w:r w:rsidR="000B7D50">
        <w:t xml:space="preserve">Fahrradbeleuchtung ist verboten. </w:t>
      </w:r>
      <w:r w:rsidR="00933A6E">
        <w:t xml:space="preserve"> </w:t>
      </w:r>
      <w:r w:rsidR="000B7D50">
        <w:t>Eventuelle akkubetriebene Sicherheitsblinkleuchten sind erlaubt.</w:t>
      </w:r>
    </w:p>
    <w:p w:rsidR="0040289F" w:rsidRDefault="0040289F" w:rsidP="001A20B5">
      <w:r>
        <w:t>Am He</w:t>
      </w:r>
      <w:r w:rsidR="00CC2234">
        <w:t>ck muss eine Fahne montiert werden</w:t>
      </w:r>
      <w:r>
        <w:t>.</w:t>
      </w:r>
      <w:r w:rsidR="00B67463">
        <w:t xml:space="preserve"> (mindestens 2m über Oberkante Straße)</w:t>
      </w:r>
    </w:p>
    <w:p w:rsidR="0040289F" w:rsidRDefault="00A427E3" w:rsidP="001A20B5">
      <w:proofErr w:type="gramStart"/>
      <w:r>
        <w:t>Allgemein :</w:t>
      </w:r>
      <w:proofErr w:type="gramEnd"/>
      <w:r>
        <w:t xml:space="preserve"> Leuchtmittelzulassung beachten !!</w:t>
      </w:r>
    </w:p>
    <w:p w:rsidR="00F21497" w:rsidRDefault="00D121D4" w:rsidP="0040289F">
      <w:pPr>
        <w:pStyle w:val="berschrift2"/>
      </w:pPr>
      <w:r>
        <w:t xml:space="preserve">§2 </w:t>
      </w:r>
      <w:r w:rsidR="0040289F">
        <w:t xml:space="preserve">Signalhorn (Hupe) </w:t>
      </w:r>
    </w:p>
    <w:p w:rsidR="0040289F" w:rsidRDefault="0040289F" w:rsidP="0040289F"/>
    <w:p w:rsidR="0040289F" w:rsidRDefault="0040289F" w:rsidP="0040289F">
      <w:r>
        <w:t xml:space="preserve">Für alle Klassen </w:t>
      </w:r>
      <w:r w:rsidR="000446C7">
        <w:t>gilt:</w:t>
      </w:r>
      <w:r>
        <w:t xml:space="preserve"> </w:t>
      </w:r>
    </w:p>
    <w:p w:rsidR="0040289F" w:rsidRDefault="0040289F" w:rsidP="0040289F">
      <w:r>
        <w:t>Eine Hupe muss funktionsfähig montiert sein.</w:t>
      </w:r>
    </w:p>
    <w:p w:rsidR="0040289F" w:rsidRDefault="0040289F" w:rsidP="0040289F"/>
    <w:p w:rsidR="0040289F" w:rsidRDefault="0040289F" w:rsidP="0040289F"/>
    <w:p w:rsidR="0040289F" w:rsidRDefault="00D121D4" w:rsidP="0040289F">
      <w:pPr>
        <w:pStyle w:val="berschrift2"/>
      </w:pPr>
      <w:r>
        <w:t xml:space="preserve">§ 3 </w:t>
      </w:r>
      <w:r w:rsidR="0040289F">
        <w:t xml:space="preserve">NOTAUS </w:t>
      </w:r>
      <w:r w:rsidR="0003306D">
        <w:t>/ Batterie</w:t>
      </w:r>
    </w:p>
    <w:p w:rsidR="0040289F" w:rsidRDefault="0040289F" w:rsidP="0040289F"/>
    <w:p w:rsidR="0040289F" w:rsidRDefault="0040289F" w:rsidP="0040289F">
      <w:r>
        <w:t xml:space="preserve">Für die Klassen T1 , T2 </w:t>
      </w:r>
      <w:r w:rsidR="006B50B7">
        <w:t>, T</w:t>
      </w:r>
      <w:r w:rsidR="00AB2D4D">
        <w:t>3</w:t>
      </w:r>
      <w:r w:rsidR="006B50B7">
        <w:t xml:space="preserve"> </w:t>
      </w:r>
      <w:r>
        <w:t>und T</w:t>
      </w:r>
      <w:r w:rsidR="006B50B7">
        <w:t>4</w:t>
      </w:r>
      <w:r>
        <w:t xml:space="preserve"> gilt: </w:t>
      </w:r>
    </w:p>
    <w:p w:rsidR="00437573" w:rsidRDefault="0040289F" w:rsidP="0040289F">
      <w:r>
        <w:t xml:space="preserve">Es muss ein mechanischer / elektromechanischer / elektrischer NOTAUS </w:t>
      </w:r>
      <w:r w:rsidR="00D121D4">
        <w:t>I</w:t>
      </w:r>
      <w:r w:rsidR="00437573">
        <w:t xml:space="preserve">nnen sowie </w:t>
      </w:r>
      <w:r w:rsidR="000446C7">
        <w:t>Außen</w:t>
      </w:r>
      <w:r w:rsidR="00437573">
        <w:t xml:space="preserve"> </w:t>
      </w:r>
      <w:r>
        <w:t>vorhanden sein.</w:t>
      </w:r>
      <w:r>
        <w:br/>
        <w:t xml:space="preserve">Dieser muss von </w:t>
      </w:r>
      <w:r w:rsidR="000446C7">
        <w:t>Außen</w:t>
      </w:r>
      <w:r>
        <w:t xml:space="preserve"> mit einem Blitzpfeil (min. 10cm </w:t>
      </w:r>
      <w:r w:rsidR="000446C7">
        <w:t>groß</w:t>
      </w:r>
      <w:r>
        <w:t>) markiert sein.</w:t>
      </w:r>
      <w:r w:rsidR="00437573">
        <w:t xml:space="preserve"> </w:t>
      </w:r>
      <w:r w:rsidR="00437573">
        <w:br/>
      </w:r>
      <w:r w:rsidR="00D121D4">
        <w:t>Von I</w:t>
      </w:r>
      <w:r w:rsidR="00437573">
        <w:t xml:space="preserve">nnen muss der </w:t>
      </w:r>
      <w:r w:rsidR="00D121D4">
        <w:t xml:space="preserve">NOTAUS </w:t>
      </w:r>
      <w:r w:rsidR="00437573">
        <w:t xml:space="preserve"> vom Fahrer und eventuellem Beifahrer im </w:t>
      </w:r>
      <w:r w:rsidR="000446C7">
        <w:t>angeschnallten</w:t>
      </w:r>
      <w:r w:rsidR="00437573">
        <w:t xml:space="preserve"> Zustand erreichbar </w:t>
      </w:r>
      <w:r w:rsidR="000446C7">
        <w:t>sein.</w:t>
      </w:r>
      <w:r>
        <w:br/>
      </w:r>
      <w:r w:rsidR="00437573">
        <w:t>Minimale Funktion : Abschaltung Motor sowie Kraftstofffördereinrichtung (</w:t>
      </w:r>
      <w:r w:rsidR="000446C7">
        <w:t>Benzinpumpe</w:t>
      </w:r>
      <w:r w:rsidR="00437573">
        <w:t xml:space="preserve"> </w:t>
      </w:r>
      <w:r w:rsidR="000446C7">
        <w:t>etc.</w:t>
      </w:r>
      <w:r w:rsidR="00437573">
        <w:t xml:space="preserve">) </w:t>
      </w:r>
      <w:r w:rsidR="00437573">
        <w:br/>
        <w:t xml:space="preserve">Optimale Funktion : Zusätzliche Trennung des Bordnetzes von der Batterie . </w:t>
      </w:r>
    </w:p>
    <w:p w:rsidR="00437573" w:rsidRDefault="00437573" w:rsidP="0040289F">
      <w:r>
        <w:t xml:space="preserve">Beide Schalteinrichtungen müssen </w:t>
      </w:r>
      <w:r w:rsidR="000446C7">
        <w:t>rot</w:t>
      </w:r>
      <w:r>
        <w:t xml:space="preserve"> markiert werden.</w:t>
      </w:r>
    </w:p>
    <w:p w:rsidR="00437573" w:rsidRDefault="00437573" w:rsidP="0040289F"/>
    <w:p w:rsidR="00437573" w:rsidRDefault="00437573" w:rsidP="0040289F">
      <w:r>
        <w:t xml:space="preserve">Für die Klassen Q1 und Q2 gilt: </w:t>
      </w:r>
    </w:p>
    <w:p w:rsidR="00437573" w:rsidRDefault="00437573" w:rsidP="0040289F">
      <w:r>
        <w:t>Ein sogenannter „</w:t>
      </w:r>
      <w:r w:rsidR="000446C7">
        <w:t>Kill Switch</w:t>
      </w:r>
      <w:r>
        <w:t xml:space="preserve">“ darf vorhanden </w:t>
      </w:r>
      <w:r w:rsidR="000446C7">
        <w:t xml:space="preserve">sein. </w:t>
      </w:r>
      <w:r>
        <w:t xml:space="preserve">Der Veranstalter </w:t>
      </w:r>
      <w:r w:rsidR="000446C7">
        <w:t>weist</w:t>
      </w:r>
      <w:r>
        <w:t xml:space="preserve"> auf </w:t>
      </w:r>
      <w:r w:rsidR="00BD14AE">
        <w:t xml:space="preserve">eine hohe </w:t>
      </w:r>
      <w:r>
        <w:t xml:space="preserve"> Sicherheitsrelevanz hin und bittet um Montage eines solchen. </w:t>
      </w:r>
      <w:r>
        <w:br/>
        <w:t>Der Schalter  wird nicht vorgeschrieben.</w:t>
      </w:r>
    </w:p>
    <w:p w:rsidR="00437573" w:rsidRDefault="0003306D" w:rsidP="0040289F">
      <w:r>
        <w:t xml:space="preserve">Für alle Klassen </w:t>
      </w:r>
      <w:r w:rsidR="000446C7">
        <w:t>gilt:</w:t>
      </w:r>
      <w:r>
        <w:t xml:space="preserve"> </w:t>
      </w:r>
    </w:p>
    <w:p w:rsidR="0003306D" w:rsidRDefault="0003306D" w:rsidP="0040289F">
      <w:r>
        <w:t>Batteriepole müssen abgedeckt sein.</w:t>
      </w:r>
      <w:r w:rsidR="00BD14AE">
        <w:t xml:space="preserve"> (fest , kein Klebeband erwünscht)</w:t>
      </w:r>
      <w:r w:rsidR="00BD14AE">
        <w:br/>
      </w:r>
      <w:r w:rsidR="00AB2D4D">
        <w:t>Die Batterie muss fest mit dem Fahrzeug verbunden sein.</w:t>
      </w:r>
      <w:r w:rsidR="00EC3D77">
        <w:t xml:space="preserve"> Sollte eine Batterie mit flüssiger Säurefüllung verbaut sein bitte auch §11 Trennwände </w:t>
      </w:r>
      <w:proofErr w:type="gramStart"/>
      <w:r w:rsidR="00EC3D77">
        <w:t>beachten !!</w:t>
      </w:r>
      <w:proofErr w:type="gramEnd"/>
      <w:r w:rsidR="00EC3D77">
        <w:t xml:space="preserve"> </w:t>
      </w:r>
    </w:p>
    <w:p w:rsidR="0003306D" w:rsidRDefault="0003306D" w:rsidP="0040289F"/>
    <w:p w:rsidR="00437573" w:rsidRDefault="00BD14AE" w:rsidP="0022163A">
      <w:pPr>
        <w:pStyle w:val="berschrift2"/>
      </w:pPr>
      <w:r>
        <w:t xml:space="preserve">§ 4 </w:t>
      </w:r>
      <w:r w:rsidR="0022163A">
        <w:t>Feuerlöscher</w:t>
      </w:r>
    </w:p>
    <w:p w:rsidR="0022163A" w:rsidRDefault="0022163A" w:rsidP="0022163A"/>
    <w:p w:rsidR="0022163A" w:rsidRDefault="0022163A" w:rsidP="0022163A">
      <w:r>
        <w:t xml:space="preserve">Für die Klassen T1 , T2 </w:t>
      </w:r>
      <w:r w:rsidR="006B50B7">
        <w:t xml:space="preserve">, T3 </w:t>
      </w:r>
      <w:r>
        <w:t>und T</w:t>
      </w:r>
      <w:r w:rsidR="006B50B7">
        <w:t>4</w:t>
      </w:r>
      <w:r>
        <w:t xml:space="preserve"> gilt: </w:t>
      </w:r>
    </w:p>
    <w:p w:rsidR="0022163A" w:rsidRDefault="0022163A" w:rsidP="0022163A">
      <w:r>
        <w:t xml:space="preserve">In jedem Fahrzeug müssen mindestens 2 x 2kg </w:t>
      </w:r>
      <w:r w:rsidR="005B70B5">
        <w:t>ODER</w:t>
      </w:r>
      <w:r w:rsidR="00F02D1C">
        <w:t xml:space="preserve">  1 x 2kg </w:t>
      </w:r>
      <w:r w:rsidR="003412DD">
        <w:t>und</w:t>
      </w:r>
      <w:r w:rsidR="00F02D1C">
        <w:t xml:space="preserve"> eine </w:t>
      </w:r>
      <w:r w:rsidR="005B70B5">
        <w:t xml:space="preserve">feste </w:t>
      </w:r>
      <w:r w:rsidR="00F02D1C">
        <w:t>Feuerlöschanlage vorhanden sein.</w:t>
      </w:r>
      <w:r w:rsidR="00F02D1C">
        <w:br/>
        <w:t>Mindestens einer der Löscher muss in Griffweite des Fahrers sowie eines eventuellen Beifahrers montiert werden.  Es ist darauf zu achten das</w:t>
      </w:r>
      <w:r w:rsidR="003A7736">
        <w:t xml:space="preserve"> mindestens einer</w:t>
      </w:r>
      <w:r w:rsidR="003412DD">
        <w:t xml:space="preserve"> dieser</w:t>
      </w:r>
      <w:r w:rsidR="00F02D1C">
        <w:t xml:space="preserve"> Löscher auch im angeschnallten Zustand </w:t>
      </w:r>
      <w:r w:rsidR="003412DD">
        <w:t>benutzt werden kann</w:t>
      </w:r>
      <w:r w:rsidR="00F02D1C">
        <w:t xml:space="preserve">. </w:t>
      </w:r>
    </w:p>
    <w:p w:rsidR="00F02D1C" w:rsidRDefault="00F02D1C" w:rsidP="0022163A"/>
    <w:p w:rsidR="00F02D1C" w:rsidRPr="0022163A" w:rsidRDefault="00F02D1C" w:rsidP="0022163A">
      <w:r>
        <w:t xml:space="preserve">Für die Klassen Q1 und Q2 </w:t>
      </w:r>
      <w:r w:rsidR="000446C7">
        <w:t>gilt:</w:t>
      </w:r>
      <w:r>
        <w:t xml:space="preserve"> </w:t>
      </w:r>
      <w:r>
        <w:br/>
      </w:r>
      <w:r>
        <w:br/>
        <w:t>Es ist kein Feuerlöscher vorgeschrieben.</w:t>
      </w:r>
    </w:p>
    <w:p w:rsidR="00437573" w:rsidRDefault="00437573" w:rsidP="0040289F"/>
    <w:p w:rsidR="00F02D1C" w:rsidRDefault="00F02D1C" w:rsidP="0040289F"/>
    <w:p w:rsidR="00F02D1C" w:rsidRDefault="00F02D1C" w:rsidP="0040289F"/>
    <w:p w:rsidR="0099678B" w:rsidRDefault="00BD14AE" w:rsidP="0099678B">
      <w:pPr>
        <w:pStyle w:val="berschrift2"/>
      </w:pPr>
      <w:r>
        <w:t xml:space="preserve">§ 5 </w:t>
      </w:r>
      <w:r w:rsidR="00F02D1C">
        <w:t>Bergematerial</w:t>
      </w:r>
      <w:r w:rsidR="0099678B">
        <w:t xml:space="preserve"> und Anschlagpunkte</w:t>
      </w:r>
    </w:p>
    <w:p w:rsidR="0099678B" w:rsidRDefault="0099678B" w:rsidP="0099678B"/>
    <w:p w:rsidR="0099678B" w:rsidRDefault="0099678B" w:rsidP="0099678B">
      <w:r>
        <w:t xml:space="preserve">Für die Klassen T1 , T2 </w:t>
      </w:r>
      <w:r w:rsidR="006B50B7">
        <w:t xml:space="preserve">, T3 </w:t>
      </w:r>
      <w:r>
        <w:t>und T</w:t>
      </w:r>
      <w:r w:rsidR="006B50B7">
        <w:t>4</w:t>
      </w:r>
      <w:r>
        <w:t xml:space="preserve"> gilt: </w:t>
      </w:r>
    </w:p>
    <w:p w:rsidR="0099678B" w:rsidRDefault="0099678B" w:rsidP="0099678B">
      <w:r>
        <w:t xml:space="preserve">Vorhanden sein muss </w:t>
      </w:r>
    </w:p>
    <w:p w:rsidR="0099678B" w:rsidRDefault="0099678B" w:rsidP="0099678B">
      <w:pPr>
        <w:pStyle w:val="Listenabsatz"/>
        <w:numPr>
          <w:ilvl w:val="0"/>
          <w:numId w:val="2"/>
        </w:numPr>
      </w:pPr>
      <w:r>
        <w:t xml:space="preserve">Bergegurt </w:t>
      </w:r>
      <w:r w:rsidR="003A7736">
        <w:t xml:space="preserve">min. </w:t>
      </w:r>
      <w:r>
        <w:t xml:space="preserve">9m </w:t>
      </w:r>
    </w:p>
    <w:p w:rsidR="0099678B" w:rsidRDefault="0099678B" w:rsidP="0099678B">
      <w:pPr>
        <w:pStyle w:val="Listenabsatz"/>
        <w:numPr>
          <w:ilvl w:val="0"/>
          <w:numId w:val="2"/>
        </w:numPr>
      </w:pPr>
      <w:r>
        <w:t xml:space="preserve">2 Stück Schäkel </w:t>
      </w:r>
    </w:p>
    <w:p w:rsidR="0099678B" w:rsidRDefault="0099678B" w:rsidP="0099678B">
      <w:r>
        <w:t>Am Fahrzeug muss vorn sowie hinten ein Anschlagpunkt rot markiert werden.</w:t>
      </w:r>
      <w:r>
        <w:br/>
      </w:r>
      <w:r>
        <w:br/>
      </w:r>
    </w:p>
    <w:p w:rsidR="00134E40" w:rsidRDefault="00134E40" w:rsidP="0099678B">
      <w:r>
        <w:t xml:space="preserve">Für die Klassen Q1 und Q2 </w:t>
      </w:r>
      <w:r w:rsidR="000446C7">
        <w:t>gilt:</w:t>
      </w:r>
      <w:r>
        <w:t xml:space="preserve"> </w:t>
      </w:r>
    </w:p>
    <w:p w:rsidR="00134E40" w:rsidRDefault="00134E40" w:rsidP="0099678B">
      <w:r>
        <w:t>Am Fahrzeug muss vorn sowie hinten ein Anschlagpunkt rot markiert werden.</w:t>
      </w:r>
      <w:r w:rsidR="000501FE">
        <w:br/>
        <w:t xml:space="preserve">Ein Bergegurt (Seil) ist nicht vorgeschrieben. Sollte ein derartiges Bergemittel mitgeführt werden ist auf eine sichere Befestigung zu achten. (für eine schnelle Bergung </w:t>
      </w:r>
      <w:r w:rsidR="000501FE" w:rsidRPr="00CC2234">
        <w:rPr>
          <w:u w:val="single"/>
        </w:rPr>
        <w:t>empfiehlt</w:t>
      </w:r>
      <w:r w:rsidR="000501FE">
        <w:t xml:space="preserve"> der Veranstalter eine Bergehilfe in Form eines Seils o.ä.</w:t>
      </w:r>
      <w:r w:rsidR="00CC2234">
        <w:t xml:space="preserve"> mitzuführen</w:t>
      </w:r>
      <w:r w:rsidR="000501FE">
        <w:t>)</w:t>
      </w:r>
    </w:p>
    <w:p w:rsidR="00450068" w:rsidRDefault="00450068" w:rsidP="0099678B"/>
    <w:p w:rsidR="00450068" w:rsidRDefault="00450068" w:rsidP="0099678B"/>
    <w:p w:rsidR="00134E40" w:rsidRDefault="00BD14AE" w:rsidP="00F26363">
      <w:pPr>
        <w:pStyle w:val="berschrift2"/>
      </w:pPr>
      <w:r>
        <w:t>§ 6 Verbandskasten</w:t>
      </w:r>
    </w:p>
    <w:p w:rsidR="00F26363" w:rsidRDefault="00F26363" w:rsidP="00F26363"/>
    <w:p w:rsidR="00F26363" w:rsidRDefault="00B34C3C" w:rsidP="00F26363">
      <w:r>
        <w:t xml:space="preserve">Für die Klassen </w:t>
      </w:r>
      <w:proofErr w:type="gramStart"/>
      <w:r>
        <w:t>T1 ,</w:t>
      </w:r>
      <w:proofErr w:type="gramEnd"/>
      <w:r>
        <w:t xml:space="preserve"> T2,</w:t>
      </w:r>
      <w:r w:rsidR="00F26363">
        <w:t xml:space="preserve"> T3 </w:t>
      </w:r>
      <w:r>
        <w:t xml:space="preserve">und T4 </w:t>
      </w:r>
      <w:r w:rsidR="00F26363">
        <w:t xml:space="preserve">gilt: </w:t>
      </w:r>
    </w:p>
    <w:p w:rsidR="00F26363" w:rsidRDefault="00855191" w:rsidP="00F26363">
      <w:r>
        <w:t xml:space="preserve">In jedem </w:t>
      </w:r>
      <w:r w:rsidR="000446C7">
        <w:t>Fahrzeug</w:t>
      </w:r>
      <w:r>
        <w:t xml:space="preserve"> muss ein </w:t>
      </w:r>
      <w:r w:rsidR="00BD14AE">
        <w:t>Verbandskasten</w:t>
      </w:r>
      <w:r>
        <w:t xml:space="preserve"> vorhanden sein.</w:t>
      </w:r>
      <w:r w:rsidR="00BD14AE">
        <w:t xml:space="preserve"> Dieser sollte den Regeln der STVZO entsprechen und nicht älter als 5 Jahre sein.</w:t>
      </w:r>
    </w:p>
    <w:p w:rsidR="00855191" w:rsidRDefault="00855191" w:rsidP="00F26363"/>
    <w:p w:rsidR="00855191" w:rsidRDefault="00855191" w:rsidP="00F26363">
      <w:r>
        <w:t xml:space="preserve">Für die Klassen Q1 und Q2 gilt : </w:t>
      </w:r>
    </w:p>
    <w:p w:rsidR="00855191" w:rsidRDefault="00855191" w:rsidP="00F26363">
      <w:r>
        <w:t xml:space="preserve">Es ist kein </w:t>
      </w:r>
      <w:r w:rsidR="00BD14AE">
        <w:t>Verbandskasten</w:t>
      </w:r>
      <w:r>
        <w:t xml:space="preserve"> vorgeschrieben. Der Veranstalter </w:t>
      </w:r>
      <w:r w:rsidR="000446C7">
        <w:t>weist</w:t>
      </w:r>
      <w:r>
        <w:t xml:space="preserve"> auf die hohe Sicherheitsrelevanz hin und empfiehlt ausdrücklich </w:t>
      </w:r>
      <w:r w:rsidR="00BD14AE">
        <w:t xml:space="preserve">diesen im Fahrzeug mitzuführen. Es gibt auch spezielle Motorrad-Packs zu kaufen.  Alles ist besser als keiner ! </w:t>
      </w:r>
    </w:p>
    <w:p w:rsidR="00F26363" w:rsidRDefault="00F26363" w:rsidP="00F26363"/>
    <w:p w:rsidR="00450068" w:rsidRDefault="00880F4B" w:rsidP="00696852">
      <w:pPr>
        <w:pStyle w:val="berschrift2"/>
      </w:pPr>
      <w:r>
        <w:t xml:space="preserve"> </w:t>
      </w:r>
    </w:p>
    <w:p w:rsidR="00880F4B" w:rsidRPr="00880F4B" w:rsidRDefault="00880F4B" w:rsidP="00880F4B"/>
    <w:p w:rsidR="00450068" w:rsidRPr="00450068" w:rsidRDefault="00450068" w:rsidP="00450068"/>
    <w:p w:rsidR="00515894" w:rsidRDefault="00515894" w:rsidP="00696852">
      <w:pPr>
        <w:pStyle w:val="berschrift2"/>
      </w:pPr>
    </w:p>
    <w:p w:rsidR="00696852" w:rsidRDefault="00BD14AE" w:rsidP="00696852">
      <w:pPr>
        <w:pStyle w:val="berschrift2"/>
      </w:pPr>
      <w:r>
        <w:t xml:space="preserve">§ 7 </w:t>
      </w:r>
      <w:r w:rsidR="00696852">
        <w:t>Gurte / Sitze</w:t>
      </w:r>
    </w:p>
    <w:p w:rsidR="00696852" w:rsidRDefault="00696852" w:rsidP="00696852"/>
    <w:p w:rsidR="00696852" w:rsidRDefault="00696852" w:rsidP="00696852">
      <w:r>
        <w:t xml:space="preserve">Für die Klassen T1 , </w:t>
      </w:r>
      <w:r w:rsidR="00326681">
        <w:t xml:space="preserve">T2 , </w:t>
      </w:r>
      <w:r>
        <w:t>T</w:t>
      </w:r>
      <w:r w:rsidR="00326681">
        <w:t xml:space="preserve">3 </w:t>
      </w:r>
      <w:r>
        <w:t>und T</w:t>
      </w:r>
      <w:r w:rsidR="00326681">
        <w:t>4</w:t>
      </w:r>
      <w:r>
        <w:t xml:space="preserve"> gilt: </w:t>
      </w:r>
    </w:p>
    <w:p w:rsidR="00A04C6F" w:rsidRDefault="00696852" w:rsidP="00696852">
      <w:r>
        <w:t xml:space="preserve">Alle </w:t>
      </w:r>
      <w:r w:rsidR="000446C7">
        <w:t>genutzten</w:t>
      </w:r>
      <w:r>
        <w:t xml:space="preserve"> Sitz</w:t>
      </w:r>
      <w:r w:rsidR="00AB2D4D">
        <w:t>plätze</w:t>
      </w:r>
      <w:r>
        <w:t xml:space="preserve"> müssen mit </w:t>
      </w:r>
      <w:r w:rsidR="00BD7C12">
        <w:t>mindestens 4-Punkt-G</w:t>
      </w:r>
      <w:r>
        <w:t xml:space="preserve">urten ausgerüstet </w:t>
      </w:r>
      <w:r w:rsidR="000446C7">
        <w:t xml:space="preserve">sein. </w:t>
      </w:r>
      <w:r>
        <w:br/>
        <w:t>Rollgurte sind aus Sicherheitsgründen verboten.</w:t>
      </w:r>
      <w:r>
        <w:br/>
        <w:t xml:space="preserve">Die Sitze müssen </w:t>
      </w:r>
      <w:r w:rsidR="00326681">
        <w:t xml:space="preserve">für </w:t>
      </w:r>
      <w:r w:rsidR="00BD7C12">
        <w:t>die verbauten Gurte</w:t>
      </w:r>
      <w:r w:rsidR="00326681">
        <w:t xml:space="preserve"> geeignet sein.</w:t>
      </w:r>
      <w:r w:rsidR="00BD14AE">
        <w:br/>
        <w:t>Die Sitzkonsolen müssen ausreichend befestigt sein.</w:t>
      </w:r>
      <w:r w:rsidR="00A04C6F">
        <w:br/>
        <w:t>Die Anschlagpunkte der Gurte müssen eine ausreichende Festigkeit besitzen.</w:t>
      </w:r>
      <w:r w:rsidR="00823C62">
        <w:br/>
        <w:t xml:space="preserve">Der Gurt sollte auch unter Last zu öffnen </w:t>
      </w:r>
      <w:proofErr w:type="gramStart"/>
      <w:r w:rsidR="00823C62">
        <w:t>sein !</w:t>
      </w:r>
      <w:proofErr w:type="gramEnd"/>
      <w:r w:rsidR="00823C62">
        <w:t xml:space="preserve">  Der Veranstalter empfiehlt einen Gurtschneider. </w:t>
      </w:r>
    </w:p>
    <w:p w:rsidR="00696852" w:rsidRDefault="00696852" w:rsidP="00696852">
      <w:r>
        <w:br/>
        <w:t xml:space="preserve">Für die Klassen Q1 und Q2 </w:t>
      </w:r>
      <w:r w:rsidR="000446C7">
        <w:t>gilt:</w:t>
      </w:r>
      <w:r>
        <w:t xml:space="preserve"> </w:t>
      </w:r>
    </w:p>
    <w:p w:rsidR="00696852" w:rsidRDefault="00696852" w:rsidP="00696852">
      <w:r>
        <w:t xml:space="preserve">Keine Vorschriften </w:t>
      </w:r>
    </w:p>
    <w:p w:rsidR="00BD14AE" w:rsidRDefault="00BD14AE" w:rsidP="00696852"/>
    <w:p w:rsidR="00696852" w:rsidRDefault="00BD14AE" w:rsidP="00696852">
      <w:pPr>
        <w:pStyle w:val="berschrift2"/>
      </w:pPr>
      <w:r>
        <w:t xml:space="preserve">§ 8 </w:t>
      </w:r>
      <w:r w:rsidR="00696852">
        <w:t>Werkzeug / Ersatzrad</w:t>
      </w:r>
    </w:p>
    <w:p w:rsidR="00696852" w:rsidRDefault="00696852" w:rsidP="00696852"/>
    <w:p w:rsidR="00696852" w:rsidRDefault="00696852" w:rsidP="00696852">
      <w:r>
        <w:t xml:space="preserve">Für die Klassen </w:t>
      </w:r>
      <w:proofErr w:type="gramStart"/>
      <w:r>
        <w:t>T1 ,</w:t>
      </w:r>
      <w:proofErr w:type="gramEnd"/>
      <w:r>
        <w:t xml:space="preserve"> T2 </w:t>
      </w:r>
      <w:r w:rsidR="00326681">
        <w:t xml:space="preserve">, T3 </w:t>
      </w:r>
      <w:r>
        <w:t>und T</w:t>
      </w:r>
      <w:r w:rsidR="00326681">
        <w:t>4</w:t>
      </w:r>
      <w:r>
        <w:t xml:space="preserve"> gilt : </w:t>
      </w:r>
      <w:r>
        <w:br/>
      </w:r>
      <w:r>
        <w:br/>
        <w:t>Jedes Fahrzeug muss mit</w:t>
      </w:r>
      <w:r w:rsidR="00122F87">
        <w:t xml:space="preserve"> mindestens </w:t>
      </w:r>
      <w:r>
        <w:t xml:space="preserve"> einem </w:t>
      </w:r>
      <w:r w:rsidR="00CC2234">
        <w:t xml:space="preserve">funktionsfähigen </w:t>
      </w:r>
      <w:r>
        <w:t xml:space="preserve">Ersatzrad ausgerüstet sein . </w:t>
      </w:r>
      <w:r w:rsidR="000446C7">
        <w:t>Außerdem</w:t>
      </w:r>
      <w:r>
        <w:t xml:space="preserve"> muss sich im Fahrzeug für das Wechseln des Ersatzrades geeignetes Werkzeug</w:t>
      </w:r>
      <w:r w:rsidR="00122F87">
        <w:t>,</w:t>
      </w:r>
      <w:r>
        <w:t xml:space="preserve"> sowie ein Wagenheber </w:t>
      </w:r>
      <w:r w:rsidR="000446C7">
        <w:t xml:space="preserve">befinden. </w:t>
      </w:r>
      <w:r w:rsidR="00515894">
        <w:br/>
        <w:t>Es ist auf eine ausreichende Befestigung der Ersatzräder und W</w:t>
      </w:r>
      <w:r w:rsidR="00122F87">
        <w:t>erkzeuge zu achten, vor allem bei</w:t>
      </w:r>
      <w:r w:rsidR="00515894">
        <w:t xml:space="preserve"> Fahrzeugen OHNE Trennwand.</w:t>
      </w:r>
    </w:p>
    <w:p w:rsidR="00696852" w:rsidRDefault="00696852" w:rsidP="00696852">
      <w:r>
        <w:t xml:space="preserve">Für die Klassen Q1 und Q2 </w:t>
      </w:r>
      <w:r w:rsidR="000446C7">
        <w:t>gilt:</w:t>
      </w:r>
      <w:r>
        <w:t xml:space="preserve"> </w:t>
      </w:r>
    </w:p>
    <w:p w:rsidR="00696852" w:rsidRDefault="00696852" w:rsidP="00696852">
      <w:r>
        <w:t xml:space="preserve">Keine Vorschriften </w:t>
      </w:r>
    </w:p>
    <w:p w:rsidR="00696852" w:rsidRDefault="00696852" w:rsidP="00696852"/>
    <w:p w:rsidR="00696852" w:rsidRDefault="00BD14AE" w:rsidP="00696852">
      <w:pPr>
        <w:pStyle w:val="berschrift2"/>
      </w:pPr>
      <w:r>
        <w:t xml:space="preserve">§ 9 </w:t>
      </w:r>
      <w:r w:rsidR="00696852">
        <w:t xml:space="preserve">Spritzschutzlappen </w:t>
      </w:r>
    </w:p>
    <w:p w:rsidR="00696852" w:rsidRDefault="00696852" w:rsidP="00696852"/>
    <w:p w:rsidR="00696852" w:rsidRDefault="00696852" w:rsidP="00696852">
      <w:r>
        <w:t xml:space="preserve">Für die Klassen T1 , T2 </w:t>
      </w:r>
      <w:r w:rsidR="00326681">
        <w:t xml:space="preserve">, T3 </w:t>
      </w:r>
      <w:r>
        <w:t>und T</w:t>
      </w:r>
      <w:r w:rsidR="00326681">
        <w:t>4</w:t>
      </w:r>
      <w:r>
        <w:t xml:space="preserve"> gilt: </w:t>
      </w:r>
    </w:p>
    <w:p w:rsidR="00696852" w:rsidRDefault="00696852" w:rsidP="00696852">
      <w:r>
        <w:t xml:space="preserve">Jedes Rad muss mit einem Spritzschutzlappen ausgerüstet </w:t>
      </w:r>
      <w:r w:rsidR="000446C7">
        <w:t xml:space="preserve">sein. </w:t>
      </w:r>
      <w:r>
        <w:t xml:space="preserve">Dieser muss bis in Höhe der Radnabe </w:t>
      </w:r>
      <w:r w:rsidR="00B24822">
        <w:t xml:space="preserve">herabhängen und die gesamte Radbreite abdecken.  </w:t>
      </w:r>
      <w:r w:rsidR="000446C7">
        <w:t>Defekte,</w:t>
      </w:r>
      <w:r w:rsidR="00B24822">
        <w:t xml:space="preserve"> lose oder verlorene Lappen müssen umgehend ersetzt</w:t>
      </w:r>
      <w:r w:rsidR="00E560EF">
        <w:t xml:space="preserve"> / befestigt </w:t>
      </w:r>
      <w:r w:rsidR="00B24822">
        <w:t xml:space="preserve"> werden. </w:t>
      </w:r>
    </w:p>
    <w:p w:rsidR="00B24822" w:rsidRDefault="00B24822" w:rsidP="00696852">
      <w:r>
        <w:t xml:space="preserve">Für die Klassen Q1 und Q2 </w:t>
      </w:r>
      <w:r w:rsidR="000446C7">
        <w:t>gilt:</w:t>
      </w:r>
      <w:r>
        <w:t xml:space="preserve"> </w:t>
      </w:r>
    </w:p>
    <w:p w:rsidR="00B24822" w:rsidRDefault="00B24822" w:rsidP="00696852">
      <w:r>
        <w:t xml:space="preserve">Keine Vorschriften </w:t>
      </w:r>
    </w:p>
    <w:p w:rsidR="00B24822" w:rsidRDefault="00BD14AE" w:rsidP="00B24822">
      <w:pPr>
        <w:pStyle w:val="berschrift2"/>
      </w:pPr>
      <w:r>
        <w:t xml:space="preserve">§ 10 </w:t>
      </w:r>
      <w:r w:rsidR="000446C7">
        <w:t>Überrollbügel</w:t>
      </w:r>
      <w:r w:rsidR="00B24822">
        <w:t xml:space="preserve"> / Sidebar</w:t>
      </w:r>
    </w:p>
    <w:p w:rsidR="00B24822" w:rsidRDefault="00B24822" w:rsidP="00B24822"/>
    <w:p w:rsidR="00B24822" w:rsidRDefault="00B24822" w:rsidP="00B24822">
      <w:r>
        <w:t xml:space="preserve">Für die Klasse T2 </w:t>
      </w:r>
      <w:r w:rsidR="000446C7">
        <w:t>gilt:</w:t>
      </w:r>
      <w:r>
        <w:t xml:space="preserve"> </w:t>
      </w:r>
    </w:p>
    <w:p w:rsidR="00450068" w:rsidRDefault="00B24822" w:rsidP="00B24822">
      <w:r>
        <w:t xml:space="preserve">Ein Käfig / Überrollbügel von Säule A bis B </w:t>
      </w:r>
      <w:r w:rsidR="000446C7">
        <w:t>ist</w:t>
      </w:r>
      <w:r>
        <w:t xml:space="preserve"> </w:t>
      </w:r>
      <w:r w:rsidR="000446C7">
        <w:t xml:space="preserve">Vorschrift. </w:t>
      </w:r>
      <w:r>
        <w:t xml:space="preserve">Ausführung angelehnt an FIA Norm. </w:t>
      </w:r>
      <w:r w:rsidR="00450068">
        <w:br/>
        <w:t>Bei Fahrzeugen mit geschlossenen Aufbau (nicht „Pickup“ ) ist eine Erweiterung  des Käfigs bis Säule C / D empfohlen.</w:t>
      </w:r>
    </w:p>
    <w:p w:rsidR="00450068" w:rsidRDefault="00450068" w:rsidP="00B24822">
      <w:r>
        <w:t xml:space="preserve">Für die Klasse T3 </w:t>
      </w:r>
      <w:r w:rsidR="00AF09CE">
        <w:t>gilt:</w:t>
      </w:r>
      <w:r>
        <w:t xml:space="preserve"> </w:t>
      </w:r>
    </w:p>
    <w:p w:rsidR="00B24822" w:rsidRDefault="00450068" w:rsidP="00B24822">
      <w:r>
        <w:t>Ein Käfig / Überrollbügel von Säule A bis B ist Vorschrift. Ausführung angelehnt an FIA Norm.</w:t>
      </w:r>
      <w:r>
        <w:br/>
        <w:t xml:space="preserve">Sollte ein originaler Käfig verbaut sein so empfiehlt der Veranstalter </w:t>
      </w:r>
      <w:r w:rsidRPr="00FA45FE">
        <w:rPr>
          <w:b/>
          <w:u w:val="single"/>
        </w:rPr>
        <w:t>ausdrücklich</w:t>
      </w:r>
      <w:r w:rsidRPr="00FA45FE">
        <w:t xml:space="preserve"> </w:t>
      </w:r>
      <w:r>
        <w:t xml:space="preserve">diesen verstärken zu </w:t>
      </w:r>
      <w:r w:rsidR="00AF09CE">
        <w:t>lassen</w:t>
      </w:r>
      <w:r w:rsidR="0089020A">
        <w:t xml:space="preserve"> </w:t>
      </w:r>
      <w:r w:rsidR="0089020A" w:rsidRPr="0089020A">
        <w:rPr>
          <w:b/>
          <w:color w:val="FF0000"/>
        </w:rPr>
        <w:t xml:space="preserve">oder besser noch gegen einen stabilen </w:t>
      </w:r>
      <w:proofErr w:type="spellStart"/>
      <w:r w:rsidR="0089020A" w:rsidRPr="0089020A">
        <w:rPr>
          <w:b/>
          <w:color w:val="FF0000"/>
        </w:rPr>
        <w:t>Motorsprtkäfig</w:t>
      </w:r>
      <w:proofErr w:type="spellEnd"/>
      <w:r w:rsidR="0089020A" w:rsidRPr="0089020A">
        <w:rPr>
          <w:b/>
          <w:color w:val="FF0000"/>
        </w:rPr>
        <w:t xml:space="preserve"> zu tauschen</w:t>
      </w:r>
      <w:r w:rsidR="00AF09CE">
        <w:t xml:space="preserve">. </w:t>
      </w:r>
      <w:r>
        <w:t>(hohe Sicherheitsrelevanz !)</w:t>
      </w:r>
      <w:r w:rsidR="0089020A">
        <w:t xml:space="preserve"> </w:t>
      </w:r>
      <w:r w:rsidR="0089020A" w:rsidRPr="0089020A">
        <w:rPr>
          <w:b/>
          <w:color w:val="FF0000"/>
        </w:rPr>
        <w:t>Originalkäfige mit Vorschäden oder Korrosion etc. werden nicht zum Rennen zugelassen.</w:t>
      </w:r>
      <w:r w:rsidR="00B24822" w:rsidRPr="0089020A">
        <w:rPr>
          <w:b/>
          <w:color w:val="FF0000"/>
        </w:rPr>
        <w:br/>
      </w:r>
      <w:r w:rsidR="00B24822">
        <w:br/>
        <w:t>Für die Klasse T1</w:t>
      </w:r>
      <w:r w:rsidR="006B50B7">
        <w:t xml:space="preserve"> und T</w:t>
      </w:r>
      <w:r w:rsidR="00EB312E">
        <w:t>4</w:t>
      </w:r>
      <w:r w:rsidR="00B24822">
        <w:t xml:space="preserve"> </w:t>
      </w:r>
      <w:r w:rsidR="000446C7">
        <w:t>gilt:</w:t>
      </w:r>
      <w:r w:rsidR="00B24822">
        <w:t xml:space="preserve"> </w:t>
      </w:r>
    </w:p>
    <w:p w:rsidR="00EB312E" w:rsidRDefault="00B24822" w:rsidP="00B24822">
      <w:r>
        <w:t>Ein Käfig / Überrollbügel von Säule A bis C</w:t>
      </w:r>
      <w:r w:rsidR="00EB312E">
        <w:t>/D</w:t>
      </w:r>
      <w:r>
        <w:t xml:space="preserve"> (oder</w:t>
      </w:r>
      <w:r w:rsidR="00880F4B">
        <w:t xml:space="preserve"> hintere</w:t>
      </w:r>
      <w:r>
        <w:t xml:space="preserve"> </w:t>
      </w:r>
      <w:r w:rsidR="00326681">
        <w:t>Außenkante</w:t>
      </w:r>
      <w:r>
        <w:t xml:space="preserve"> Fahrzeug) ist </w:t>
      </w:r>
      <w:r w:rsidR="000446C7">
        <w:t xml:space="preserve">vorgeschrieben. </w:t>
      </w:r>
      <w:r>
        <w:t xml:space="preserve">Ausführung angelehnt an FIA </w:t>
      </w:r>
      <w:r w:rsidR="00AF09CE">
        <w:t>Norm.</w:t>
      </w:r>
    </w:p>
    <w:p w:rsidR="00AB2D4D" w:rsidRDefault="00CC2234" w:rsidP="00B24822">
      <w:r>
        <w:t>Allgemein gilt:</w:t>
      </w:r>
      <w:r>
        <w:br/>
      </w:r>
      <w:r w:rsidR="00AB2D4D">
        <w:t xml:space="preserve">Sämtliche </w:t>
      </w:r>
      <w:r w:rsidR="000446C7">
        <w:t>Schweißarbeiten</w:t>
      </w:r>
      <w:r w:rsidR="00AB2D4D">
        <w:t xml:space="preserve"> und Befestigungspun</w:t>
      </w:r>
      <w:r w:rsidR="00880F4B">
        <w:t>kte der Käfige müssen fachmännisch</w:t>
      </w:r>
      <w:r w:rsidR="00AB2D4D">
        <w:t xml:space="preserve"> ausgeführt sein.</w:t>
      </w:r>
      <w:r w:rsidR="00AB2D4D">
        <w:br/>
        <w:t xml:space="preserve">Der Veranstalter behält sich vor selbst </w:t>
      </w:r>
      <w:r w:rsidR="000446C7">
        <w:t>geschweißte</w:t>
      </w:r>
      <w:r w:rsidR="00AB2D4D">
        <w:t xml:space="preserve"> Käfige nach Risikobewertung vom Rennen </w:t>
      </w:r>
      <w:r w:rsidR="000446C7">
        <w:t>auszuschließen</w:t>
      </w:r>
      <w:r w:rsidR="00AB2D4D">
        <w:t>.</w:t>
      </w:r>
      <w:r w:rsidR="00FA45FE">
        <w:t xml:space="preserve"> Käfigteile im direkten Kopfbereich müssen gepolstert werden.</w:t>
      </w:r>
      <w:r w:rsidR="00880F4B">
        <w:br/>
        <w:t>FIA-Norm für Überrollbügel siehe : Artikel 253 Anhang J ISG.</w:t>
      </w:r>
    </w:p>
    <w:p w:rsidR="00B24822" w:rsidRDefault="00B24822" w:rsidP="00B24822">
      <w:r>
        <w:br/>
        <w:t xml:space="preserve">Für die Klassen Q1 und Q2 </w:t>
      </w:r>
      <w:r w:rsidR="000446C7">
        <w:t>gilt:</w:t>
      </w:r>
      <w:r>
        <w:t xml:space="preserve"> </w:t>
      </w:r>
    </w:p>
    <w:p w:rsidR="006B50B7" w:rsidRDefault="00B24822" w:rsidP="00B24822">
      <w:r>
        <w:t>Der Fu</w:t>
      </w:r>
      <w:r w:rsidR="00326681">
        <w:t>ß</w:t>
      </w:r>
      <w:r>
        <w:t xml:space="preserve">bereich muss mit einer geeigneten festen Aufstandsfläche ausgerüstet sein. </w:t>
      </w:r>
      <w:r w:rsidR="006B50B7">
        <w:br/>
      </w:r>
    </w:p>
    <w:p w:rsidR="00EB312E" w:rsidRDefault="00EB312E" w:rsidP="00EB312E">
      <w:pPr>
        <w:pStyle w:val="berschrift2"/>
      </w:pPr>
      <w:r>
        <w:t xml:space="preserve">§ 11 Trennwände </w:t>
      </w:r>
    </w:p>
    <w:p w:rsidR="00EB312E" w:rsidRDefault="00EB312E" w:rsidP="00EB312E"/>
    <w:p w:rsidR="00EB312E" w:rsidRDefault="00EB312E" w:rsidP="00EB312E">
      <w:r>
        <w:t xml:space="preserve">Für die Klassen </w:t>
      </w:r>
      <w:r w:rsidR="00AF09CE">
        <w:t>T1,</w:t>
      </w:r>
      <w:r>
        <w:t xml:space="preserve"> </w:t>
      </w:r>
      <w:r w:rsidR="00880F4B">
        <w:t xml:space="preserve">T2, </w:t>
      </w:r>
      <w:r w:rsidR="00AF09CE">
        <w:t>T3,</w:t>
      </w:r>
      <w:r>
        <w:t xml:space="preserve"> T4 gilt: </w:t>
      </w:r>
    </w:p>
    <w:p w:rsidR="00EB312E" w:rsidRDefault="00185903" w:rsidP="00EB312E">
      <w:r>
        <w:t xml:space="preserve">Befinden </w:t>
      </w:r>
      <w:r w:rsidR="00EB312E">
        <w:t xml:space="preserve">sich </w:t>
      </w:r>
      <w:r w:rsidRPr="00185903">
        <w:rPr>
          <w:u w:val="single"/>
        </w:rPr>
        <w:t>direkt</w:t>
      </w:r>
      <w:r w:rsidR="0089020A">
        <w:t xml:space="preserve"> (bis </w:t>
      </w:r>
      <w:r w:rsidR="0089020A" w:rsidRPr="0089020A">
        <w:rPr>
          <w:b/>
          <w:color w:val="FF0000"/>
        </w:rPr>
        <w:t>50</w:t>
      </w:r>
      <w:r w:rsidRPr="0089020A">
        <w:rPr>
          <w:b/>
          <w:color w:val="FF0000"/>
        </w:rPr>
        <w:t>cm)</w:t>
      </w:r>
      <w:r>
        <w:t xml:space="preserve"> </w:t>
      </w:r>
      <w:r w:rsidR="00EB312E">
        <w:t xml:space="preserve">hinter dem Fahrer oder Beifahrer </w:t>
      </w:r>
    </w:p>
    <w:p w:rsidR="00EB312E" w:rsidRDefault="00EB312E" w:rsidP="00EB312E">
      <w:pPr>
        <w:pStyle w:val="Listenabsatz"/>
        <w:numPr>
          <w:ilvl w:val="0"/>
          <w:numId w:val="7"/>
        </w:numPr>
      </w:pPr>
      <w:r>
        <w:t xml:space="preserve">Batterie </w:t>
      </w:r>
      <w:r w:rsidR="00EC3D77">
        <w:t xml:space="preserve">mit flüssiger Säurefüllung </w:t>
      </w:r>
      <w:r w:rsidR="00185903">
        <w:t>(</w:t>
      </w:r>
      <w:r w:rsidR="00EC3D77">
        <w:t>siehe auch §</w:t>
      </w:r>
      <w:r w:rsidR="000928F9">
        <w:t>3</w:t>
      </w:r>
      <w:r w:rsidR="00185903">
        <w:t>! )und/</w:t>
      </w:r>
      <w:r>
        <w:t>oder</w:t>
      </w:r>
    </w:p>
    <w:p w:rsidR="00EB312E" w:rsidRDefault="00EB312E" w:rsidP="00EB312E">
      <w:pPr>
        <w:pStyle w:val="Listenabsatz"/>
        <w:numPr>
          <w:ilvl w:val="0"/>
          <w:numId w:val="7"/>
        </w:numPr>
      </w:pPr>
      <w:r>
        <w:t xml:space="preserve">Kühler </w:t>
      </w:r>
      <w:r w:rsidR="00185903">
        <w:t>und/</w:t>
      </w:r>
      <w:r>
        <w:t>oder</w:t>
      </w:r>
    </w:p>
    <w:p w:rsidR="00EB312E" w:rsidRDefault="00EB312E" w:rsidP="00EB312E">
      <w:pPr>
        <w:pStyle w:val="Listenabsatz"/>
        <w:numPr>
          <w:ilvl w:val="0"/>
          <w:numId w:val="7"/>
        </w:numPr>
      </w:pPr>
      <w:r>
        <w:t>Abgasanlage</w:t>
      </w:r>
      <w:r w:rsidR="00185903">
        <w:t xml:space="preserve"> und/</w:t>
      </w:r>
      <w:r>
        <w:t xml:space="preserve"> oder </w:t>
      </w:r>
    </w:p>
    <w:p w:rsidR="00EB312E" w:rsidRDefault="00EB312E" w:rsidP="00EB312E">
      <w:pPr>
        <w:pStyle w:val="Listenabsatz"/>
        <w:numPr>
          <w:ilvl w:val="0"/>
          <w:numId w:val="7"/>
        </w:numPr>
      </w:pPr>
      <w:r>
        <w:t>Tank (Haupt- oder Zusatztank)</w:t>
      </w:r>
    </w:p>
    <w:p w:rsidR="00EB312E" w:rsidRPr="00EB312E" w:rsidRDefault="00D86132" w:rsidP="00EB312E">
      <w:r>
        <w:t>und sind diese dort nicht ORIGINAL verbaut</w:t>
      </w:r>
      <w:r w:rsidR="0028605E">
        <w:t>,</w:t>
      </w:r>
      <w:r w:rsidR="006749BD">
        <w:t xml:space="preserve"> </w:t>
      </w:r>
      <w:r w:rsidR="00EB312E">
        <w:t>dann muss eine Trenn</w:t>
      </w:r>
      <w:r>
        <w:t>wand montiert</w:t>
      </w:r>
      <w:r w:rsidR="00EB312E">
        <w:t xml:space="preserve"> </w:t>
      </w:r>
      <w:r w:rsidR="00AF09CE">
        <w:t>sein</w:t>
      </w:r>
      <w:r w:rsidR="00EC3D77">
        <w:t xml:space="preserve"> die dem Fahrer oder Beifahrer  entsprechenden Schutz bietet</w:t>
      </w:r>
      <w:r w:rsidR="00AF09CE">
        <w:t xml:space="preserve">. </w:t>
      </w:r>
      <w:r w:rsidR="000928F9">
        <w:t>(Abgas, Säure</w:t>
      </w:r>
      <w:r w:rsidR="001D2362">
        <w:t>, auslaufende Betriebsstoffe,</w:t>
      </w:r>
      <w:r w:rsidR="000928F9">
        <w:t xml:space="preserve"> </w:t>
      </w:r>
      <w:r w:rsidR="00A04C6F">
        <w:t>heiße</w:t>
      </w:r>
      <w:r w:rsidR="000928F9">
        <w:t xml:space="preserve"> Medien</w:t>
      </w:r>
      <w:r w:rsidR="001D2362">
        <w:t xml:space="preserve"> oder auch herumfliegende Teile</w:t>
      </w:r>
      <w:r w:rsidR="000928F9">
        <w:t>)</w:t>
      </w:r>
      <w:r w:rsidR="00EB312E">
        <w:br/>
      </w:r>
      <w:r w:rsidR="00823C62">
        <w:t>D</w:t>
      </w:r>
      <w:r w:rsidR="00FA45FE">
        <w:t>ies</w:t>
      </w:r>
      <w:r w:rsidR="00823C62">
        <w:t xml:space="preserve"> kann auch</w:t>
      </w:r>
      <w:r w:rsidR="00FA45FE">
        <w:t xml:space="preserve"> aus</w:t>
      </w:r>
      <w:r w:rsidR="00823C62">
        <w:t xml:space="preserve"> eine</w:t>
      </w:r>
      <w:r w:rsidR="00FA45FE">
        <w:t>r</w:t>
      </w:r>
      <w:r w:rsidR="00823C62">
        <w:t xml:space="preserve"> am Überrollbügel befestigte</w:t>
      </w:r>
      <w:r w:rsidR="00FA45FE">
        <w:t>n</w:t>
      </w:r>
      <w:r w:rsidR="00823C62">
        <w:t xml:space="preserve"> hitzebeständige</w:t>
      </w:r>
      <w:r w:rsidR="00FA45FE">
        <w:t>n und säurefesten Folie bestehen</w:t>
      </w:r>
      <w:r w:rsidR="00BD7C12">
        <w:t>.</w:t>
      </w:r>
      <w:r w:rsidR="00823C62">
        <w:t xml:space="preserve">  </w:t>
      </w:r>
      <w:r w:rsidR="00BD7C12">
        <w:t xml:space="preserve">Auch hier </w:t>
      </w:r>
      <w:proofErr w:type="gramStart"/>
      <w:r w:rsidR="00BD7C12">
        <w:t>gilt :</w:t>
      </w:r>
      <w:proofErr w:type="gramEnd"/>
      <w:r w:rsidR="00BD7C12">
        <w:t xml:space="preserve"> Alles ist besser als nichts !</w:t>
      </w:r>
    </w:p>
    <w:p w:rsidR="00362375" w:rsidRDefault="00421F11" w:rsidP="00362375">
      <w:pPr>
        <w:pStyle w:val="berschrift2"/>
      </w:pPr>
      <w:r>
        <w:t xml:space="preserve">§ 12 </w:t>
      </w:r>
      <w:r w:rsidR="00362375">
        <w:t>Persönliche Schutzausrüstung</w:t>
      </w:r>
      <w:r w:rsidR="00362375">
        <w:br/>
      </w:r>
    </w:p>
    <w:p w:rsidR="00362375" w:rsidRDefault="00362375" w:rsidP="00362375">
      <w:r>
        <w:t xml:space="preserve">Für die Klassen T1 , T2 , T3 und T4 gilt: </w:t>
      </w:r>
    </w:p>
    <w:p w:rsidR="0036439F" w:rsidRDefault="00362375" w:rsidP="00362375">
      <w:r>
        <w:t>Jeder Insasse muss über einen Helm nach ECE / FIA o.ä. verfügen. Sonstige Kopfbedeckungen sind verboten.</w:t>
      </w:r>
      <w:r w:rsidR="00437DCE">
        <w:t xml:space="preserve"> Festes Schuhwerk wird vorgeschrieben.</w:t>
      </w:r>
      <w:r>
        <w:br/>
        <w:t>Weiterhin muss jeder Insass</w:t>
      </w:r>
      <w:r w:rsidR="00A93566">
        <w:t>e einen zugelassenen brandhemmenden</w:t>
      </w:r>
      <w:r>
        <w:t xml:space="preserve"> Anzug </w:t>
      </w:r>
      <w:r w:rsidR="000446C7">
        <w:t>tragen.</w:t>
      </w:r>
      <w:r>
        <w:br/>
        <w:t xml:space="preserve">Nur in </w:t>
      </w:r>
      <w:r w:rsidR="000446C7">
        <w:t>T3:</w:t>
      </w:r>
      <w:r>
        <w:t xml:space="preserve"> Sollte das Fahrzeug nicht über eine Frontscheibe verfügen so ist ein Visier oder eine Brille vorgeschrieben.</w:t>
      </w:r>
    </w:p>
    <w:p w:rsidR="0036439F" w:rsidRDefault="0036439F" w:rsidP="0036439F">
      <w:pPr>
        <w:pStyle w:val="Default"/>
        <w:rPr>
          <w:rFonts w:asciiTheme="minorHAnsi" w:hAnsiTheme="minorHAnsi" w:cs="Arial"/>
          <w:sz w:val="22"/>
          <w:szCs w:val="22"/>
        </w:rPr>
      </w:pPr>
      <w:r w:rsidRPr="0036439F">
        <w:rPr>
          <w:rFonts w:asciiTheme="minorHAnsi" w:hAnsiTheme="minorHAnsi"/>
          <w:sz w:val="22"/>
          <w:szCs w:val="22"/>
        </w:rPr>
        <w:t xml:space="preserve">Der Veranstalter </w:t>
      </w:r>
      <w:r w:rsidRPr="0036439F">
        <w:rPr>
          <w:rFonts w:asciiTheme="minorHAnsi" w:hAnsiTheme="minorHAnsi"/>
          <w:sz w:val="22"/>
          <w:szCs w:val="22"/>
          <w:u w:val="single"/>
        </w:rPr>
        <w:t>empfiehlt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6439F">
        <w:rPr>
          <w:rFonts w:asciiTheme="minorHAnsi" w:hAnsiTheme="minorHAnsi" w:cs="Arial"/>
          <w:sz w:val="22"/>
          <w:szCs w:val="22"/>
        </w:rPr>
        <w:t xml:space="preserve">ausschließlich </w:t>
      </w:r>
    </w:p>
    <w:p w:rsidR="0036439F" w:rsidRPr="0036439F" w:rsidRDefault="0036439F" w:rsidP="0036439F">
      <w:pPr>
        <w:pStyle w:val="Defaul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6439F">
        <w:rPr>
          <w:rFonts w:asciiTheme="minorHAnsi" w:hAnsiTheme="minorHAnsi" w:cs="Arial"/>
          <w:sz w:val="22"/>
          <w:szCs w:val="22"/>
        </w:rPr>
        <w:t xml:space="preserve">flammabweisende Schutzkleidung mit eingesticktem FIA-Prüfzeichen (FIA Norm 1986 oder 8856/2000). </w:t>
      </w:r>
    </w:p>
    <w:p w:rsidR="0036439F" w:rsidRPr="0036439F" w:rsidRDefault="0036439F" w:rsidP="0036439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  <w:r w:rsidRPr="0036439F">
        <w:rPr>
          <w:rFonts w:cs="Arial"/>
          <w:color w:val="000000"/>
        </w:rPr>
        <w:t xml:space="preserve">Hohe Schuhe aus Nomex (FIA Norm 1986 oder 8856/2000) </w:t>
      </w:r>
    </w:p>
    <w:p w:rsidR="0036439F" w:rsidRPr="0036439F" w:rsidRDefault="0036439F" w:rsidP="0036439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  <w:r w:rsidRPr="0036439F">
        <w:rPr>
          <w:rFonts w:cs="Arial"/>
          <w:color w:val="000000"/>
        </w:rPr>
        <w:t xml:space="preserve">Flammabweisende Handschuhe (FIA Norm 1986 oder 8856/2000). </w:t>
      </w:r>
    </w:p>
    <w:p w:rsidR="0036439F" w:rsidRDefault="0036439F" w:rsidP="0036439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  <w:r w:rsidRPr="0036439F">
        <w:rPr>
          <w:rFonts w:cs="Arial"/>
          <w:color w:val="000000"/>
        </w:rPr>
        <w:t xml:space="preserve">Feuerfester Kopfschutz </w:t>
      </w:r>
      <w:r>
        <w:rPr>
          <w:rFonts w:cs="Arial"/>
          <w:color w:val="000000"/>
        </w:rPr>
        <w:t>(FIA Norm 1986 oder 8856/2000).</w:t>
      </w:r>
    </w:p>
    <w:p w:rsidR="0036439F" w:rsidRDefault="00515894" w:rsidP="0036439F">
      <w:p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36439F">
        <w:rPr>
          <w:rFonts w:cs="Arial"/>
          <w:color w:val="000000"/>
        </w:rPr>
        <w:t>u benutzen.</w:t>
      </w:r>
    </w:p>
    <w:p w:rsidR="0036439F" w:rsidRDefault="0036439F" w:rsidP="0036439F">
      <w:p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</w:p>
    <w:p w:rsidR="0036439F" w:rsidRPr="0036439F" w:rsidRDefault="0036439F" w:rsidP="0036439F">
      <w:p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</w:p>
    <w:p w:rsidR="00213A8B" w:rsidRPr="0036439F" w:rsidRDefault="00213A8B" w:rsidP="0036439F">
      <w:pPr>
        <w:autoSpaceDE w:val="0"/>
        <w:autoSpaceDN w:val="0"/>
        <w:adjustRightInd w:val="0"/>
        <w:spacing w:after="29" w:line="240" w:lineRule="auto"/>
        <w:rPr>
          <w:rFonts w:cs="Arial"/>
          <w:color w:val="000000"/>
        </w:rPr>
      </w:pPr>
      <w:r>
        <w:t xml:space="preserve">Für die Klassen Q1 und Q2 gilt: </w:t>
      </w:r>
    </w:p>
    <w:p w:rsidR="0036439F" w:rsidRDefault="0036439F" w:rsidP="00362375"/>
    <w:p w:rsidR="00213A8B" w:rsidRDefault="00213A8B" w:rsidP="00362375">
      <w:r>
        <w:t xml:space="preserve">Vorgeschrieben ist das Tragen von </w:t>
      </w:r>
    </w:p>
    <w:p w:rsidR="00213A8B" w:rsidRDefault="00213A8B" w:rsidP="00213A8B">
      <w:pPr>
        <w:pStyle w:val="Listenabsatz"/>
        <w:numPr>
          <w:ilvl w:val="0"/>
          <w:numId w:val="3"/>
        </w:numPr>
      </w:pPr>
      <w:r>
        <w:t>Motor</w:t>
      </w:r>
      <w:r w:rsidR="00515894">
        <w:t>r</w:t>
      </w:r>
      <w:r>
        <w:t>adstiefeln</w:t>
      </w:r>
    </w:p>
    <w:p w:rsidR="00213A8B" w:rsidRDefault="00213A8B" w:rsidP="00213A8B">
      <w:pPr>
        <w:pStyle w:val="Listenabsatz"/>
        <w:numPr>
          <w:ilvl w:val="0"/>
          <w:numId w:val="3"/>
        </w:numPr>
      </w:pPr>
      <w:r>
        <w:t>Schulter und evtl. Knieschutz</w:t>
      </w:r>
    </w:p>
    <w:p w:rsidR="000E1A1B" w:rsidRDefault="000E1A1B" w:rsidP="00213A8B">
      <w:pPr>
        <w:pStyle w:val="Listenabsatz"/>
        <w:numPr>
          <w:ilvl w:val="0"/>
          <w:numId w:val="3"/>
        </w:numPr>
      </w:pPr>
      <w:r>
        <w:t>Rückenprotektor</w:t>
      </w:r>
    </w:p>
    <w:p w:rsidR="000E1A1B" w:rsidRDefault="00213A8B" w:rsidP="000E1A1B">
      <w:pPr>
        <w:pStyle w:val="Listenabsatz"/>
        <w:numPr>
          <w:ilvl w:val="0"/>
          <w:numId w:val="3"/>
        </w:numPr>
      </w:pPr>
      <w:r>
        <w:t xml:space="preserve">Handprotektoren (im Handschuh oder am Fahrzeug) </w:t>
      </w:r>
    </w:p>
    <w:p w:rsidR="000E1A1B" w:rsidRDefault="000E1A1B" w:rsidP="000E1A1B">
      <w:pPr>
        <w:pStyle w:val="Listenabsatz"/>
        <w:numPr>
          <w:ilvl w:val="0"/>
          <w:numId w:val="3"/>
        </w:numPr>
      </w:pPr>
      <w:r>
        <w:t>Handschuhe</w:t>
      </w:r>
    </w:p>
    <w:p w:rsidR="00213A8B" w:rsidRDefault="00213A8B" w:rsidP="00213A8B">
      <w:pPr>
        <w:pStyle w:val="Listenabsatz"/>
        <w:numPr>
          <w:ilvl w:val="0"/>
          <w:numId w:val="3"/>
        </w:numPr>
      </w:pPr>
      <w:r>
        <w:t>Helm nach ECE / FIA o.ä.</w:t>
      </w:r>
    </w:p>
    <w:p w:rsidR="00213A8B" w:rsidRDefault="00213A8B" w:rsidP="00213A8B">
      <w:pPr>
        <w:pStyle w:val="Listenabsatz"/>
        <w:numPr>
          <w:ilvl w:val="0"/>
          <w:numId w:val="3"/>
        </w:numPr>
      </w:pPr>
      <w:r>
        <w:t>Visier oder Brille</w:t>
      </w:r>
    </w:p>
    <w:p w:rsidR="00213A8B" w:rsidRDefault="00213A8B" w:rsidP="00213A8B">
      <w:pPr>
        <w:pStyle w:val="Listenabsatz"/>
        <w:numPr>
          <w:ilvl w:val="0"/>
          <w:numId w:val="3"/>
        </w:numPr>
      </w:pPr>
      <w:r>
        <w:t>eine Rote Leuchte auf dem Helm (Fahrradlicht erlaubt)</w:t>
      </w:r>
      <w:r w:rsidR="00A93566">
        <w:t xml:space="preserve"> die nach hinten leuchtet</w:t>
      </w:r>
      <w:r w:rsidR="00EF0F0B">
        <w:br/>
        <w:t xml:space="preserve">Hier </w:t>
      </w:r>
      <w:proofErr w:type="gramStart"/>
      <w:r w:rsidR="00EF0F0B">
        <w:t>zählt :</w:t>
      </w:r>
      <w:proofErr w:type="gramEnd"/>
      <w:r w:rsidR="00EF0F0B">
        <w:t xml:space="preserve"> gesehen werden !</w:t>
      </w:r>
      <w:bookmarkStart w:id="0" w:name="_GoBack"/>
      <w:bookmarkEnd w:id="0"/>
    </w:p>
    <w:p w:rsidR="0036439F" w:rsidRDefault="0036439F" w:rsidP="00B36C32">
      <w:pPr>
        <w:pStyle w:val="berschrift2"/>
      </w:pPr>
    </w:p>
    <w:p w:rsidR="00B24822" w:rsidRDefault="00421F11" w:rsidP="00B36C32">
      <w:pPr>
        <w:pStyle w:val="berschrift2"/>
      </w:pPr>
      <w:r>
        <w:t xml:space="preserve">§ 13 </w:t>
      </w:r>
      <w:r w:rsidR="00B36C32">
        <w:t>Allgemeine Vorschriften</w:t>
      </w:r>
    </w:p>
    <w:p w:rsidR="00B36C32" w:rsidRDefault="00B36C32" w:rsidP="00B36C32"/>
    <w:p w:rsidR="00B36C32" w:rsidRDefault="00B36C32" w:rsidP="00B36C32">
      <w:r>
        <w:t xml:space="preserve">Für alle Klassen gilt: </w:t>
      </w:r>
    </w:p>
    <w:p w:rsidR="00B36C32" w:rsidRDefault="00B36C32" w:rsidP="00B36C32">
      <w:r>
        <w:t xml:space="preserve">Das Fahrzeug muss über </w:t>
      </w:r>
    </w:p>
    <w:p w:rsidR="00B36C32" w:rsidRDefault="00B36C32" w:rsidP="00B36C32">
      <w:pPr>
        <w:pStyle w:val="Listenabsatz"/>
        <w:numPr>
          <w:ilvl w:val="0"/>
          <w:numId w:val="4"/>
        </w:numPr>
      </w:pPr>
      <w:r>
        <w:t>eine Strassenzulassung oder</w:t>
      </w:r>
    </w:p>
    <w:p w:rsidR="00B36C32" w:rsidRDefault="00B36C32" w:rsidP="00B36C32">
      <w:pPr>
        <w:pStyle w:val="Listenabsatz"/>
        <w:numPr>
          <w:ilvl w:val="0"/>
          <w:numId w:val="4"/>
        </w:numPr>
      </w:pPr>
      <w:r>
        <w:t>ein Kurzzeitkennzeichen oder</w:t>
      </w:r>
    </w:p>
    <w:p w:rsidR="00B36C32" w:rsidRDefault="00B36C32" w:rsidP="00B36C32">
      <w:pPr>
        <w:pStyle w:val="Listenabsatz"/>
        <w:numPr>
          <w:ilvl w:val="0"/>
          <w:numId w:val="4"/>
        </w:numPr>
      </w:pPr>
      <w:r>
        <w:t xml:space="preserve">eine Sporthaftpflichtversicherung </w:t>
      </w:r>
    </w:p>
    <w:p w:rsidR="00B36C32" w:rsidRDefault="00B36C32" w:rsidP="00B36C32">
      <w:r>
        <w:t>verfügen.</w:t>
      </w:r>
    </w:p>
    <w:p w:rsidR="00B36C32" w:rsidRDefault="00B36C32" w:rsidP="00B36C32">
      <w:r>
        <w:t xml:space="preserve">Der Fahrer muss eine gültige Fahrerlaubnis besitzen. </w:t>
      </w:r>
      <w:r w:rsidR="00421F11">
        <w:t xml:space="preserve"> </w:t>
      </w:r>
      <w:r>
        <w:t>Alle am Rennen teilnehmenden Personen müssen in einer guten medizinischen Verfassung sein.</w:t>
      </w:r>
      <w:r w:rsidR="00421F11">
        <w:t xml:space="preserve"> </w:t>
      </w:r>
      <w:r w:rsidR="00AB2D4D">
        <w:t xml:space="preserve">Das Fahrzeug muss in einem verkehrssicheren Zustand sein. </w:t>
      </w:r>
      <w:r w:rsidR="00421F11">
        <w:t xml:space="preserve"> </w:t>
      </w:r>
      <w:r w:rsidR="00AB2D4D">
        <w:t xml:space="preserve">Bei der technischen Abnahme wird besonderer Augenmerk </w:t>
      </w:r>
      <w:proofErr w:type="gramStart"/>
      <w:r w:rsidR="002B314B">
        <w:t>auf :</w:t>
      </w:r>
      <w:proofErr w:type="gramEnd"/>
    </w:p>
    <w:p w:rsidR="00AB2D4D" w:rsidRDefault="00AB2D4D" w:rsidP="00AB2D4D">
      <w:pPr>
        <w:pStyle w:val="Listenabsatz"/>
        <w:numPr>
          <w:ilvl w:val="0"/>
          <w:numId w:val="5"/>
        </w:numPr>
      </w:pPr>
      <w:r>
        <w:t xml:space="preserve">Fahrwerk (Festigkeit , Schraubverbindungen </w:t>
      </w:r>
      <w:r w:rsidR="00512922">
        <w:t>)</w:t>
      </w:r>
    </w:p>
    <w:p w:rsidR="00512922" w:rsidRDefault="00512922" w:rsidP="00AB2D4D">
      <w:pPr>
        <w:pStyle w:val="Listenabsatz"/>
        <w:numPr>
          <w:ilvl w:val="0"/>
          <w:numId w:val="5"/>
        </w:numPr>
      </w:pPr>
      <w:r>
        <w:t>Bremsanlage (Beläge)</w:t>
      </w:r>
    </w:p>
    <w:p w:rsidR="00512922" w:rsidRDefault="00512922" w:rsidP="00AB2D4D">
      <w:pPr>
        <w:pStyle w:val="Listenabsatz"/>
        <w:numPr>
          <w:ilvl w:val="0"/>
          <w:numId w:val="5"/>
        </w:numPr>
      </w:pPr>
      <w:r>
        <w:t>Personenschutz (Kanten , Verletzungsrisiken)</w:t>
      </w:r>
    </w:p>
    <w:p w:rsidR="00512922" w:rsidRDefault="00512922" w:rsidP="00AB2D4D">
      <w:pPr>
        <w:pStyle w:val="Listenabsatz"/>
        <w:numPr>
          <w:ilvl w:val="0"/>
          <w:numId w:val="5"/>
        </w:numPr>
      </w:pPr>
      <w:r>
        <w:t>Lautstärke</w:t>
      </w:r>
    </w:p>
    <w:p w:rsidR="00421F11" w:rsidRDefault="00421F11" w:rsidP="00AB2D4D">
      <w:pPr>
        <w:pStyle w:val="Listenabsatz"/>
        <w:numPr>
          <w:ilvl w:val="0"/>
          <w:numId w:val="5"/>
        </w:numPr>
      </w:pPr>
      <w:r>
        <w:t>Kraftstoffanlage</w:t>
      </w:r>
    </w:p>
    <w:p w:rsidR="002B314B" w:rsidRDefault="002B314B" w:rsidP="00AB2D4D">
      <w:pPr>
        <w:pStyle w:val="Listenabsatz"/>
        <w:numPr>
          <w:ilvl w:val="0"/>
          <w:numId w:val="5"/>
        </w:numPr>
      </w:pPr>
      <w:r>
        <w:t>Undichtigkeiten</w:t>
      </w:r>
    </w:p>
    <w:p w:rsidR="00512922" w:rsidRDefault="00512922" w:rsidP="00512922">
      <w:r>
        <w:t xml:space="preserve">gelegt.  Bei </w:t>
      </w:r>
      <w:r w:rsidR="003A0F48">
        <w:t xml:space="preserve">entsprechender </w:t>
      </w:r>
      <w:r>
        <w:t xml:space="preserve">Risikobewertung kann der Veranstalter </w:t>
      </w:r>
      <w:r w:rsidR="00A04C6F">
        <w:t xml:space="preserve">(nach Prüfung durch die technische Abnahme) </w:t>
      </w:r>
      <w:r>
        <w:t xml:space="preserve">eine </w:t>
      </w:r>
      <w:r w:rsidRPr="00A04C6F">
        <w:rPr>
          <w:u w:val="single"/>
        </w:rPr>
        <w:t>Empfehlung</w:t>
      </w:r>
      <w:r>
        <w:t xml:space="preserve"> ausgeben oder das Fahrzeug vom Rennen ausschließen.</w:t>
      </w:r>
      <w:r w:rsidR="00A04C6F">
        <w:br/>
      </w:r>
      <w:r w:rsidR="00AF09CE">
        <w:t xml:space="preserve">Das </w:t>
      </w:r>
      <w:r w:rsidR="000501FE">
        <w:t>Mitführen</w:t>
      </w:r>
      <w:r w:rsidR="00AF09CE">
        <w:t xml:space="preserve"> von Tankkanistern ist verboten!</w:t>
      </w:r>
    </w:p>
    <w:p w:rsidR="00512922" w:rsidRDefault="00512922" w:rsidP="00512922">
      <w:r>
        <w:t xml:space="preserve">Die Technische Abnahme wird zum Schutze aller Teilnehmer und zur Durchsetzung von Sicherheitsmindeststandarts durchgeführt.  </w:t>
      </w:r>
      <w:r w:rsidR="00AF09CE">
        <w:t xml:space="preserve">Alle persönlichen Sicherheitsausrüstungen sind bei der techn. Abnahme vorzuweisen! </w:t>
      </w:r>
      <w:r w:rsidR="00A04C6F">
        <w:t xml:space="preserve">(von </w:t>
      </w:r>
      <w:r w:rsidR="00A04C6F" w:rsidRPr="003F4AA2">
        <w:rPr>
          <w:b/>
          <w:u w:val="single"/>
        </w:rPr>
        <w:t>jedem</w:t>
      </w:r>
      <w:r w:rsidR="00A04C6F">
        <w:t xml:space="preserve"> Fahrer und </w:t>
      </w:r>
      <w:r w:rsidR="00515894">
        <w:t xml:space="preserve">eventuellem </w:t>
      </w:r>
      <w:r w:rsidR="00A04C6F">
        <w:t>Beifahrer)</w:t>
      </w:r>
    </w:p>
    <w:p w:rsidR="000446C7" w:rsidRDefault="000446C7" w:rsidP="00512922">
      <w:r>
        <w:t>Jedes F</w:t>
      </w:r>
      <w:r w:rsidR="00515894">
        <w:t xml:space="preserve">ahrzeug muss vorgeführt werden und muss über die gesamte Renndistanz den technischen Regeln entsprechen. </w:t>
      </w:r>
      <w:r w:rsidR="003F4AA2">
        <w:t xml:space="preserve">Hier </w:t>
      </w:r>
      <w:proofErr w:type="gramStart"/>
      <w:r w:rsidR="003F4AA2">
        <w:t>gilt :</w:t>
      </w:r>
      <w:proofErr w:type="gramEnd"/>
      <w:r w:rsidR="003F4AA2">
        <w:t xml:space="preserve"> Sicherheit geht vor !</w:t>
      </w:r>
    </w:p>
    <w:p w:rsidR="00F838A8" w:rsidRDefault="00AF09CE" w:rsidP="00512922">
      <w:r>
        <w:t>Fahrzeuge,</w:t>
      </w:r>
      <w:r w:rsidR="00F838A8">
        <w:t xml:space="preserve"> Tanks, Beleuchtung sowie Überrollbügel und alle Sicherheitseinrichtungen die eine FIA </w:t>
      </w:r>
      <w:r w:rsidR="00900399">
        <w:t>–</w:t>
      </w:r>
      <w:r w:rsidR="00F838A8">
        <w:t xml:space="preserve"> </w:t>
      </w:r>
      <w:r w:rsidR="00900399">
        <w:t>H</w:t>
      </w:r>
      <w:r w:rsidR="00F838A8">
        <w:t>omologisierung</w:t>
      </w:r>
      <w:r w:rsidR="00900399">
        <w:t xml:space="preserve"> besitzen sind UNEINGESCHRÄNKT zugelassen.</w:t>
      </w:r>
    </w:p>
    <w:p w:rsidR="00342A11" w:rsidRDefault="000501FE" w:rsidP="00512922">
      <w:r>
        <w:t>Es besteht für die während des Rennens beteiligten Fahrer / Beifahrer ALKOHOLVERBOT.</w:t>
      </w:r>
      <w:r w:rsidR="002936CF">
        <w:br/>
        <w:t xml:space="preserve">Für den Einspruch gegen die Entscheidung der technischen </w:t>
      </w:r>
      <w:r w:rsidR="005153EB">
        <w:t>Kommissare</w:t>
      </w:r>
      <w:r w:rsidR="002936CF">
        <w:t xml:space="preserve"> gelten die Regeln für „Einspruch</w:t>
      </w:r>
      <w:proofErr w:type="gramStart"/>
      <w:r w:rsidR="002936CF">
        <w:t>“ .</w:t>
      </w:r>
      <w:proofErr w:type="gramEnd"/>
      <w:r w:rsidR="002936CF">
        <w:t xml:space="preserve"> Siehe Allgemeine Regeln für das Rennen.</w:t>
      </w:r>
    </w:p>
    <w:p w:rsidR="00342A11" w:rsidRDefault="00421F11" w:rsidP="00342A11">
      <w:pPr>
        <w:pStyle w:val="berschrift2"/>
      </w:pPr>
      <w:r>
        <w:t xml:space="preserve">§ 14 </w:t>
      </w:r>
      <w:r w:rsidR="00342A11">
        <w:t xml:space="preserve">Klassen: </w:t>
      </w:r>
    </w:p>
    <w:p w:rsidR="00342A11" w:rsidRDefault="00342A11" w:rsidP="00342A11">
      <w:pPr>
        <w:pStyle w:val="Default"/>
        <w:rPr>
          <w:sz w:val="22"/>
          <w:szCs w:val="22"/>
        </w:rPr>
      </w:pPr>
      <w:r>
        <w:t xml:space="preserve">T1 (Proto): </w:t>
      </w:r>
      <w:r>
        <w:rPr>
          <w:sz w:val="22"/>
          <w:szCs w:val="22"/>
        </w:rPr>
        <w:t xml:space="preserve">&gt; 1150kg / &lt; 2300mm breit /&lt; </w:t>
      </w:r>
      <w:r w:rsidR="00AF09CE">
        <w:rPr>
          <w:sz w:val="22"/>
          <w:szCs w:val="22"/>
        </w:rPr>
        <w:t>3500kg,</w:t>
      </w:r>
      <w:r>
        <w:rPr>
          <w:sz w:val="22"/>
          <w:szCs w:val="22"/>
        </w:rPr>
        <w:t xml:space="preserve"> Fahrzeug modifiziert </w:t>
      </w:r>
    </w:p>
    <w:p w:rsidR="00342A11" w:rsidRDefault="00342A11" w:rsidP="00342A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T2 (Seriennah) : &gt; 1150kg/ &lt;2100mm breit / &lt; 3500kg </w:t>
      </w:r>
    </w:p>
    <w:p w:rsidR="00342A11" w:rsidRDefault="00342A11" w:rsidP="00342A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T3 (UTV, SBS) : &gt; 400kg / &lt;1150kg</w:t>
      </w:r>
    </w:p>
    <w:p w:rsidR="00342A11" w:rsidRDefault="00342A11" w:rsidP="00342A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T4 (LKW) : &gt; 3500kg / &lt;20000kg</w:t>
      </w:r>
    </w:p>
    <w:p w:rsidR="00342A11" w:rsidRDefault="00342A11" w:rsidP="00342A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Q1 : &gt;150kg / Allrad </w:t>
      </w:r>
    </w:p>
    <w:p w:rsidR="00342A11" w:rsidRDefault="00342A11" w:rsidP="00342A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Q2 : &gt;75kg / 2 WD</w:t>
      </w:r>
    </w:p>
    <w:p w:rsidR="00342A11" w:rsidRDefault="00342A11" w:rsidP="00342A11">
      <w:pPr>
        <w:pStyle w:val="Default"/>
        <w:rPr>
          <w:sz w:val="22"/>
          <w:szCs w:val="22"/>
        </w:rPr>
      </w:pPr>
    </w:p>
    <w:p w:rsidR="00342A11" w:rsidRDefault="00342A11" w:rsidP="00342A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der Serienklassen T2 gilt</w:t>
      </w:r>
      <w:r w:rsidR="00B839A8">
        <w:rPr>
          <w:sz w:val="22"/>
          <w:szCs w:val="22"/>
        </w:rPr>
        <w:t xml:space="preserve"> zusätzlich</w:t>
      </w:r>
      <w:r>
        <w:rPr>
          <w:sz w:val="22"/>
          <w:szCs w:val="22"/>
        </w:rPr>
        <w:t xml:space="preserve">: </w:t>
      </w:r>
    </w:p>
    <w:p w:rsidR="00342A11" w:rsidRDefault="00342A11" w:rsidP="00342A11">
      <w:pPr>
        <w:pStyle w:val="Default"/>
        <w:rPr>
          <w:sz w:val="22"/>
          <w:szCs w:val="22"/>
        </w:rPr>
      </w:pPr>
    </w:p>
    <w:p w:rsidR="00342A11" w:rsidRDefault="00342A11" w:rsidP="00342A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Motor / Getriebe Serie</w:t>
      </w:r>
    </w:p>
    <w:p w:rsidR="00342A11" w:rsidRDefault="00342A11" w:rsidP="00342A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Originale Dämpferaufnahmen mit originalen Dämpferlängen</w:t>
      </w:r>
    </w:p>
    <w:p w:rsidR="00342A11" w:rsidRDefault="00342A11" w:rsidP="00342A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Keine Kunstoffkarosserieteile</w:t>
      </w:r>
    </w:p>
    <w:p w:rsidR="00342A11" w:rsidRDefault="00342A11" w:rsidP="00342A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Keine Plexigläser</w:t>
      </w:r>
    </w:p>
    <w:p w:rsidR="00342A11" w:rsidRDefault="00342A11" w:rsidP="00342A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Federaufnahmen und Positionen original</w:t>
      </w:r>
    </w:p>
    <w:p w:rsidR="00342A11" w:rsidRDefault="00342A11" w:rsidP="00342A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Federweg original</w:t>
      </w:r>
    </w:p>
    <w:p w:rsidR="00342A11" w:rsidRDefault="005A5494" w:rsidP="00342A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Innenraum von Säule A bis B original (Fußmatten können entfernt werden )</w:t>
      </w:r>
    </w:p>
    <w:p w:rsidR="000928F9" w:rsidRPr="00A04C6F" w:rsidRDefault="005A5494" w:rsidP="00A04C6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Sitze original oder modifiziert </w:t>
      </w:r>
    </w:p>
    <w:p w:rsidR="005A5494" w:rsidRPr="002936CF" w:rsidRDefault="000928F9" w:rsidP="005A549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936CF">
        <w:rPr>
          <w:sz w:val="22"/>
          <w:szCs w:val="22"/>
        </w:rPr>
        <w:t>ABS , ESP , Airbag und derartige Systeme können abgeschaltet werden</w:t>
      </w:r>
    </w:p>
    <w:p w:rsidR="00B24822" w:rsidRPr="00696852" w:rsidRDefault="00B24822" w:rsidP="0098291D">
      <w:pPr>
        <w:jc w:val="right"/>
      </w:pPr>
    </w:p>
    <w:sectPr w:rsidR="00B24822" w:rsidRPr="00696852" w:rsidSect="00842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77A"/>
    <w:multiLevelType w:val="hybridMultilevel"/>
    <w:tmpl w:val="0712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6128"/>
    <w:multiLevelType w:val="hybridMultilevel"/>
    <w:tmpl w:val="1144A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051"/>
    <w:multiLevelType w:val="hybridMultilevel"/>
    <w:tmpl w:val="4CE8E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2C38"/>
    <w:multiLevelType w:val="hybridMultilevel"/>
    <w:tmpl w:val="278EB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16743"/>
    <w:multiLevelType w:val="hybridMultilevel"/>
    <w:tmpl w:val="638C6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360F7"/>
    <w:multiLevelType w:val="hybridMultilevel"/>
    <w:tmpl w:val="7B8E9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02B81"/>
    <w:multiLevelType w:val="hybridMultilevel"/>
    <w:tmpl w:val="476ED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4830"/>
    <w:multiLevelType w:val="hybridMultilevel"/>
    <w:tmpl w:val="347CF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00EFB"/>
    <w:multiLevelType w:val="hybridMultilevel"/>
    <w:tmpl w:val="E0AE3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A56708"/>
    <w:rsid w:val="00021B33"/>
    <w:rsid w:val="0003306D"/>
    <w:rsid w:val="000446C7"/>
    <w:rsid w:val="000501FE"/>
    <w:rsid w:val="000928F9"/>
    <w:rsid w:val="00095D70"/>
    <w:rsid w:val="000B7D50"/>
    <w:rsid w:val="000E1A1B"/>
    <w:rsid w:val="00122F87"/>
    <w:rsid w:val="00134E40"/>
    <w:rsid w:val="00185903"/>
    <w:rsid w:val="001A20B5"/>
    <w:rsid w:val="001C59A0"/>
    <w:rsid w:val="001D2362"/>
    <w:rsid w:val="00213A8B"/>
    <w:rsid w:val="0022163A"/>
    <w:rsid w:val="00260531"/>
    <w:rsid w:val="0028147C"/>
    <w:rsid w:val="0028605E"/>
    <w:rsid w:val="002936CF"/>
    <w:rsid w:val="002B314B"/>
    <w:rsid w:val="002B3F8F"/>
    <w:rsid w:val="002E525F"/>
    <w:rsid w:val="00300883"/>
    <w:rsid w:val="00326681"/>
    <w:rsid w:val="003412DD"/>
    <w:rsid w:val="00342A11"/>
    <w:rsid w:val="00357851"/>
    <w:rsid w:val="00362375"/>
    <w:rsid w:val="0036439F"/>
    <w:rsid w:val="003A0F48"/>
    <w:rsid w:val="003A7736"/>
    <w:rsid w:val="003C6A96"/>
    <w:rsid w:val="003F4AA2"/>
    <w:rsid w:val="0040289F"/>
    <w:rsid w:val="00421F11"/>
    <w:rsid w:val="00431801"/>
    <w:rsid w:val="00437573"/>
    <w:rsid w:val="00437DCE"/>
    <w:rsid w:val="00440D32"/>
    <w:rsid w:val="00450068"/>
    <w:rsid w:val="00463706"/>
    <w:rsid w:val="00512922"/>
    <w:rsid w:val="005153EB"/>
    <w:rsid w:val="00515894"/>
    <w:rsid w:val="005646D4"/>
    <w:rsid w:val="005A5494"/>
    <w:rsid w:val="005B70B5"/>
    <w:rsid w:val="005E391C"/>
    <w:rsid w:val="0067348B"/>
    <w:rsid w:val="006749BD"/>
    <w:rsid w:val="00684AB3"/>
    <w:rsid w:val="00696852"/>
    <w:rsid w:val="006B2FC9"/>
    <w:rsid w:val="006B50B7"/>
    <w:rsid w:val="007B5B26"/>
    <w:rsid w:val="00823C62"/>
    <w:rsid w:val="0084265A"/>
    <w:rsid w:val="00842985"/>
    <w:rsid w:val="00855191"/>
    <w:rsid w:val="00880F4B"/>
    <w:rsid w:val="0089020A"/>
    <w:rsid w:val="00900399"/>
    <w:rsid w:val="00921847"/>
    <w:rsid w:val="00933A6E"/>
    <w:rsid w:val="00942B8F"/>
    <w:rsid w:val="0098291D"/>
    <w:rsid w:val="0099678B"/>
    <w:rsid w:val="00A04C6F"/>
    <w:rsid w:val="00A352DD"/>
    <w:rsid w:val="00A427E3"/>
    <w:rsid w:val="00A44E25"/>
    <w:rsid w:val="00A56708"/>
    <w:rsid w:val="00A71335"/>
    <w:rsid w:val="00A742A5"/>
    <w:rsid w:val="00A93566"/>
    <w:rsid w:val="00AB2D4D"/>
    <w:rsid w:val="00AF09CE"/>
    <w:rsid w:val="00B24822"/>
    <w:rsid w:val="00B34C3C"/>
    <w:rsid w:val="00B36C32"/>
    <w:rsid w:val="00B67463"/>
    <w:rsid w:val="00B839A8"/>
    <w:rsid w:val="00B85F15"/>
    <w:rsid w:val="00BD14AE"/>
    <w:rsid w:val="00BD7C12"/>
    <w:rsid w:val="00CC2234"/>
    <w:rsid w:val="00CC632E"/>
    <w:rsid w:val="00D121D4"/>
    <w:rsid w:val="00D42A61"/>
    <w:rsid w:val="00D86132"/>
    <w:rsid w:val="00D931E3"/>
    <w:rsid w:val="00E012CC"/>
    <w:rsid w:val="00E560EF"/>
    <w:rsid w:val="00E90EAB"/>
    <w:rsid w:val="00EB312E"/>
    <w:rsid w:val="00EC3D77"/>
    <w:rsid w:val="00EF0F0B"/>
    <w:rsid w:val="00F02D1C"/>
    <w:rsid w:val="00F21497"/>
    <w:rsid w:val="00F26363"/>
    <w:rsid w:val="00F2751E"/>
    <w:rsid w:val="00F838A8"/>
    <w:rsid w:val="00FA45FE"/>
    <w:rsid w:val="00FB5A1F"/>
    <w:rsid w:val="00FB6675"/>
    <w:rsid w:val="00FD0F3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85"/>
  </w:style>
  <w:style w:type="paragraph" w:styleId="berschrift1">
    <w:name w:val="heading 1"/>
    <w:basedOn w:val="Standard"/>
    <w:next w:val="Standard"/>
    <w:link w:val="berschrift1Zeichen"/>
    <w:uiPriority w:val="9"/>
    <w:qFormat/>
    <w:rsid w:val="00A56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0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96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56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A56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A56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02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9678B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696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42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42A5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D86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6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6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2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9678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96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42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2A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86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0DA4-909B-AA4C-87CD-F7B820EC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2116</Words>
  <Characters>12062</Characters>
  <Application>Microsoft Macintosh Word</Application>
  <DocSecurity>0</DocSecurity>
  <Lines>100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andre_vaio</dc:creator>
  <cp:lastModifiedBy>Jörg sand</cp:lastModifiedBy>
  <cp:revision>3</cp:revision>
  <cp:lastPrinted>2017-01-30T21:15:00Z</cp:lastPrinted>
  <dcterms:created xsi:type="dcterms:W3CDTF">2017-01-30T21:17:00Z</dcterms:created>
  <dcterms:modified xsi:type="dcterms:W3CDTF">2017-02-08T11:29:00Z</dcterms:modified>
</cp:coreProperties>
</file>